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D6D" w:rsidRPr="003D0E2B" w:rsidRDefault="00381D6D" w:rsidP="003D0E2B">
      <w:pPr>
        <w:tabs>
          <w:tab w:val="left" w:pos="10206"/>
        </w:tabs>
        <w:spacing w:after="0" w:line="360" w:lineRule="auto"/>
        <w:jc w:val="center"/>
        <w:rPr>
          <w:rFonts w:ascii="Times New Roman" w:hAnsi="Times New Roman" w:cs="Times New Roman"/>
          <w:sz w:val="24"/>
          <w:szCs w:val="24"/>
        </w:rPr>
      </w:pPr>
      <w:r w:rsidRPr="003D0E2B">
        <w:rPr>
          <w:rFonts w:ascii="Times New Roman" w:hAnsi="Times New Roman" w:cs="Times New Roman"/>
          <w:sz w:val="24"/>
          <w:szCs w:val="24"/>
        </w:rPr>
        <w:t>KKTC NARKOTİK POLİSİNİN ALMIŞ OLDUĞU  HİZMET İÇİ EĞİTİMLERİN ETKİLİLİĞİNE YÖNELİK GÖRÜŞLERİN DEĞERLENDİRİLMESİ</w:t>
      </w:r>
    </w:p>
    <w:p w:rsidR="00381D6D" w:rsidRPr="003D0E2B" w:rsidRDefault="00381D6D" w:rsidP="003D0E2B">
      <w:pPr>
        <w:spacing w:line="360" w:lineRule="auto"/>
        <w:rPr>
          <w:rFonts w:ascii="Times New Roman" w:hAnsi="Times New Roman" w:cs="Times New Roman"/>
          <w:sz w:val="24"/>
          <w:szCs w:val="24"/>
        </w:rPr>
      </w:pPr>
      <w:r w:rsidRPr="003D0E2B">
        <w:rPr>
          <w:rFonts w:ascii="Times New Roman" w:hAnsi="Times New Roman" w:cs="Times New Roman"/>
          <w:sz w:val="24"/>
          <w:szCs w:val="24"/>
        </w:rPr>
        <w:t xml:space="preserve">                                                                                          </w:t>
      </w:r>
    </w:p>
    <w:p w:rsidR="00381D6D" w:rsidRPr="003D0E2B" w:rsidRDefault="00381D6D" w:rsidP="003D0E2B">
      <w:pPr>
        <w:spacing w:line="360" w:lineRule="auto"/>
        <w:rPr>
          <w:rFonts w:ascii="Times New Roman" w:hAnsi="Times New Roman" w:cs="Times New Roman"/>
          <w:sz w:val="24"/>
          <w:szCs w:val="24"/>
        </w:rPr>
      </w:pPr>
      <w:r w:rsidRPr="003D0E2B">
        <w:rPr>
          <w:rFonts w:ascii="Times New Roman" w:hAnsi="Times New Roman" w:cs="Times New Roman"/>
          <w:sz w:val="24"/>
          <w:szCs w:val="24"/>
        </w:rPr>
        <w:t xml:space="preserve">                                                                                                                   Özcan DÖNMEZER*</w:t>
      </w:r>
    </w:p>
    <w:p w:rsidR="00381D6D" w:rsidRPr="003D0E2B" w:rsidRDefault="00381D6D" w:rsidP="003D0E2B">
      <w:pPr>
        <w:spacing w:line="360" w:lineRule="auto"/>
        <w:rPr>
          <w:rFonts w:ascii="Times New Roman" w:hAnsi="Times New Roman" w:cs="Times New Roman"/>
          <w:sz w:val="24"/>
          <w:szCs w:val="24"/>
        </w:rPr>
      </w:pPr>
      <w:r w:rsidRPr="003D0E2B">
        <w:rPr>
          <w:rFonts w:ascii="Times New Roman" w:hAnsi="Times New Roman" w:cs="Times New Roman"/>
          <w:sz w:val="24"/>
          <w:szCs w:val="24"/>
        </w:rPr>
        <w:t>Özet</w:t>
      </w:r>
    </w:p>
    <w:p w:rsidR="00381D6D" w:rsidRPr="003D0E2B" w:rsidRDefault="00381D6D" w:rsidP="003D0E2B">
      <w:pPr>
        <w:spacing w:line="360" w:lineRule="auto"/>
        <w:jc w:val="both"/>
        <w:rPr>
          <w:rFonts w:ascii="Times New Roman" w:hAnsi="Times New Roman" w:cs="Times New Roman"/>
          <w:sz w:val="24"/>
          <w:szCs w:val="24"/>
        </w:rPr>
      </w:pPr>
      <w:r w:rsidRPr="003D0E2B">
        <w:rPr>
          <w:rFonts w:ascii="Times New Roman" w:hAnsi="Times New Roman" w:cs="Times New Roman"/>
          <w:sz w:val="24"/>
          <w:szCs w:val="24"/>
        </w:rPr>
        <w:t xml:space="preserve">      Bu araştırmada amaç, KKTC’de son 10 yılda Polis genel Müdürlüğü Narkotik ve Kaçakcılığı önleme  Müdürlüğünde görev yapmakta olan  personele verilen uyuşturucu maddelere yönelik hizmet içi kursların etkililiğini değerlendirmektir.  Bu sayede  bugüne kadar verilen bu tür eğitimlerin genel durumunu ortaya koymak ve varsa eksiklikleri ortadan kaldırmak amaçlanmıştır.  Hizmet içi eğitimleri değerlendirilirken planlama, süreç ve değerlendirme başlıkları altında polislerin görüşleri alınmıştır. Araştırmada nitel araştırma yaklaşımı temel alınmış ve durum çalışması modeline uygun olarak veriler toplanmıştır. Amaçlı örnekleme uygun olarak, bu eğitimleri alan polisler araştırmaya dahil edilmiş ve veri toplama aracı olarak yarı yapılandırılmış görüşme soruları kullanılmıştır. Elde edilen veriler içerik analiziyle değerlendirilmiştir. Narkotik polisi olarak  çalışan personelin almış oldukları tüm eğitimler genel olarak ifade edilirken aynı zamanda narkotik konusunda almış oldukları eğitimlerin mesleki verimliliklerine olan etkisi ortaya konmuş bu konuda yapılabileceklere ilişkin bir dizi öneri üretilmiştir.</w:t>
      </w:r>
    </w:p>
    <w:p w:rsidR="00381D6D" w:rsidRPr="003D0E2B" w:rsidRDefault="00381D6D" w:rsidP="003D0E2B">
      <w:pPr>
        <w:spacing w:line="360" w:lineRule="auto"/>
        <w:rPr>
          <w:rFonts w:ascii="Times New Roman" w:hAnsi="Times New Roman" w:cs="Times New Roman"/>
          <w:sz w:val="24"/>
          <w:szCs w:val="24"/>
        </w:rPr>
      </w:pPr>
      <w:r w:rsidRPr="003D0E2B">
        <w:rPr>
          <w:rFonts w:ascii="Times New Roman" w:hAnsi="Times New Roman" w:cs="Times New Roman"/>
          <w:sz w:val="24"/>
          <w:szCs w:val="24"/>
        </w:rPr>
        <w:t xml:space="preserve">     Anahtar kelimeler: Polis Eğitimi, Eğitim, Hizmet İçi Eğitim, Narkotik, </w:t>
      </w:r>
    </w:p>
    <w:p w:rsidR="00381D6D" w:rsidRPr="003D0E2B" w:rsidRDefault="00381D6D" w:rsidP="003D0E2B">
      <w:pPr>
        <w:spacing w:line="360" w:lineRule="auto"/>
        <w:rPr>
          <w:rFonts w:ascii="Times New Roman" w:hAnsi="Times New Roman" w:cs="Times New Roman"/>
          <w:sz w:val="24"/>
          <w:szCs w:val="24"/>
          <w:u w:val="single"/>
        </w:rPr>
      </w:pPr>
    </w:p>
    <w:p w:rsidR="00381D6D" w:rsidRPr="003D0E2B" w:rsidRDefault="00381D6D" w:rsidP="003D0E2B">
      <w:pPr>
        <w:spacing w:line="360" w:lineRule="auto"/>
        <w:rPr>
          <w:rFonts w:ascii="Times New Roman" w:hAnsi="Times New Roman" w:cs="Times New Roman"/>
          <w:sz w:val="24"/>
          <w:szCs w:val="24"/>
          <w:u w:val="single"/>
        </w:rPr>
      </w:pPr>
    </w:p>
    <w:p w:rsidR="00381D6D" w:rsidRPr="003D0E2B" w:rsidRDefault="00381D6D" w:rsidP="003D0E2B">
      <w:pPr>
        <w:spacing w:line="360" w:lineRule="auto"/>
        <w:rPr>
          <w:rFonts w:ascii="Times New Roman" w:hAnsi="Times New Roman" w:cs="Times New Roman"/>
          <w:sz w:val="24"/>
          <w:szCs w:val="24"/>
          <w:u w:val="single"/>
        </w:rPr>
      </w:pPr>
    </w:p>
    <w:p w:rsidR="00381D6D" w:rsidRPr="003D0E2B" w:rsidRDefault="00381D6D" w:rsidP="003D0E2B">
      <w:pPr>
        <w:spacing w:line="360" w:lineRule="auto"/>
        <w:rPr>
          <w:rFonts w:ascii="Times New Roman" w:hAnsi="Times New Roman" w:cs="Times New Roman"/>
          <w:sz w:val="24"/>
          <w:szCs w:val="24"/>
          <w:u w:val="single"/>
        </w:rPr>
      </w:pPr>
    </w:p>
    <w:p w:rsidR="00381D6D" w:rsidRPr="003D0E2B" w:rsidRDefault="00381D6D" w:rsidP="003D0E2B">
      <w:pPr>
        <w:spacing w:line="360" w:lineRule="auto"/>
        <w:rPr>
          <w:rFonts w:ascii="Times New Roman" w:hAnsi="Times New Roman" w:cs="Times New Roman"/>
          <w:sz w:val="24"/>
          <w:szCs w:val="24"/>
          <w:u w:val="single"/>
        </w:rPr>
      </w:pPr>
    </w:p>
    <w:p w:rsidR="00381D6D" w:rsidRPr="003D0E2B" w:rsidRDefault="00381D6D" w:rsidP="003D0E2B">
      <w:pPr>
        <w:spacing w:line="360" w:lineRule="auto"/>
        <w:rPr>
          <w:rFonts w:ascii="Times New Roman" w:hAnsi="Times New Roman" w:cs="Times New Roman"/>
          <w:sz w:val="24"/>
          <w:szCs w:val="24"/>
          <w:u w:val="single"/>
        </w:rPr>
      </w:pPr>
    </w:p>
    <w:p w:rsidR="00381D6D" w:rsidRPr="003D0E2B" w:rsidRDefault="00381D6D" w:rsidP="003D0E2B">
      <w:pPr>
        <w:spacing w:line="360" w:lineRule="auto"/>
        <w:rPr>
          <w:rFonts w:ascii="Times New Roman" w:hAnsi="Times New Roman" w:cs="Times New Roman"/>
          <w:sz w:val="24"/>
          <w:szCs w:val="24"/>
          <w:u w:val="single"/>
        </w:rPr>
      </w:pPr>
    </w:p>
    <w:p w:rsidR="00381D6D" w:rsidRPr="003D0E2B" w:rsidRDefault="00381D6D" w:rsidP="003D0E2B">
      <w:pPr>
        <w:spacing w:line="360" w:lineRule="auto"/>
        <w:rPr>
          <w:rFonts w:ascii="Times New Roman" w:hAnsi="Times New Roman" w:cs="Times New Roman"/>
          <w:sz w:val="24"/>
          <w:szCs w:val="24"/>
          <w:u w:val="single"/>
        </w:rPr>
      </w:pPr>
    </w:p>
    <w:p w:rsidR="00381D6D" w:rsidRPr="003D0E2B" w:rsidRDefault="00381D6D" w:rsidP="003D0E2B">
      <w:pPr>
        <w:spacing w:line="360" w:lineRule="auto"/>
        <w:rPr>
          <w:rFonts w:ascii="Times New Roman" w:hAnsi="Times New Roman" w:cs="Times New Roman"/>
          <w:sz w:val="24"/>
          <w:szCs w:val="24"/>
          <w:u w:val="single"/>
        </w:rPr>
      </w:pPr>
      <w:r w:rsidRPr="003D0E2B">
        <w:rPr>
          <w:rFonts w:ascii="Times New Roman" w:hAnsi="Times New Roman" w:cs="Times New Roman"/>
          <w:sz w:val="24"/>
          <w:szCs w:val="24"/>
          <w:u w:val="single"/>
        </w:rPr>
        <w:softHyphen/>
      </w:r>
      <w:r w:rsidRPr="003D0E2B">
        <w:rPr>
          <w:rFonts w:ascii="Times New Roman" w:hAnsi="Times New Roman" w:cs="Times New Roman"/>
          <w:sz w:val="24"/>
          <w:szCs w:val="24"/>
          <w:u w:val="single"/>
        </w:rPr>
        <w:softHyphen/>
        <w:t>___________________</w:t>
      </w:r>
    </w:p>
    <w:p w:rsidR="00381D6D" w:rsidRPr="003D0E2B" w:rsidRDefault="00381D6D" w:rsidP="003D0E2B">
      <w:pPr>
        <w:spacing w:line="360" w:lineRule="auto"/>
        <w:rPr>
          <w:rFonts w:ascii="Times New Roman" w:hAnsi="Times New Roman" w:cs="Times New Roman"/>
          <w:sz w:val="24"/>
          <w:szCs w:val="24"/>
        </w:rPr>
      </w:pPr>
      <w:r w:rsidRPr="003D0E2B">
        <w:rPr>
          <w:rFonts w:ascii="Times New Roman" w:hAnsi="Times New Roman" w:cs="Times New Roman"/>
          <w:sz w:val="24"/>
          <w:szCs w:val="24"/>
        </w:rPr>
        <w:t>*Polis Müfettişi-PGM Polis Okulu Müdürlüğü,  ozcandonmezer1970@gmail.com</w:t>
      </w:r>
    </w:p>
    <w:p w:rsidR="00381D6D" w:rsidRPr="003D0E2B" w:rsidRDefault="00381D6D" w:rsidP="003D0E2B">
      <w:pPr>
        <w:spacing w:line="360" w:lineRule="auto"/>
        <w:rPr>
          <w:rFonts w:ascii="Times New Roman" w:hAnsi="Times New Roman" w:cs="Times New Roman"/>
          <w:sz w:val="24"/>
          <w:szCs w:val="24"/>
        </w:rPr>
      </w:pPr>
      <w:r w:rsidRPr="003D0E2B">
        <w:rPr>
          <w:rFonts w:ascii="Times New Roman" w:hAnsi="Times New Roman" w:cs="Times New Roman"/>
          <w:sz w:val="24"/>
          <w:szCs w:val="24"/>
        </w:rPr>
        <w:br w:type="page"/>
      </w:r>
    </w:p>
    <w:p w:rsidR="00381D6D" w:rsidRPr="003D0E2B" w:rsidRDefault="00381D6D" w:rsidP="003D0E2B">
      <w:pPr>
        <w:spacing w:line="360" w:lineRule="auto"/>
        <w:jc w:val="center"/>
        <w:rPr>
          <w:rFonts w:ascii="Times New Roman" w:hAnsi="Times New Roman" w:cs="Times New Roman"/>
          <w:b/>
          <w:bCs/>
          <w:sz w:val="24"/>
          <w:szCs w:val="24"/>
        </w:rPr>
      </w:pPr>
      <w:r w:rsidRPr="003D0E2B">
        <w:rPr>
          <w:rFonts w:ascii="Times New Roman" w:hAnsi="Times New Roman" w:cs="Times New Roman"/>
          <w:b/>
          <w:bCs/>
          <w:sz w:val="24"/>
          <w:szCs w:val="24"/>
        </w:rPr>
        <w:lastRenderedPageBreak/>
        <w:t>KUZEY KIBRIS TÜRK CUMHURİYETİ  NARKOTİK POLİSİNİN ALMIŞ OLDUĞU  HİZMET İÇİ EĞİTİMLERİN ETKİLİLİĞİNE YÖNELİK GÖRÜŞLERİN DEĞERLENDİRİLMESİ</w:t>
      </w:r>
    </w:p>
    <w:p w:rsidR="00381D6D" w:rsidRPr="003D0E2B" w:rsidRDefault="00381D6D" w:rsidP="003D0E2B">
      <w:pPr>
        <w:spacing w:line="360" w:lineRule="auto"/>
        <w:rPr>
          <w:rFonts w:ascii="Times New Roman" w:hAnsi="Times New Roman" w:cs="Times New Roman"/>
          <w:b/>
          <w:sz w:val="24"/>
          <w:szCs w:val="24"/>
        </w:rPr>
      </w:pPr>
      <w:r w:rsidRPr="003D0E2B">
        <w:rPr>
          <w:rFonts w:ascii="Times New Roman" w:hAnsi="Times New Roman" w:cs="Times New Roman"/>
          <w:b/>
          <w:sz w:val="24"/>
          <w:szCs w:val="24"/>
        </w:rPr>
        <w:t>Amaç</w:t>
      </w:r>
    </w:p>
    <w:p w:rsidR="00381D6D" w:rsidRPr="003D0E2B" w:rsidRDefault="00381D6D" w:rsidP="003D0E2B">
      <w:pPr>
        <w:spacing w:line="360" w:lineRule="auto"/>
        <w:jc w:val="both"/>
        <w:rPr>
          <w:rFonts w:ascii="Times New Roman" w:hAnsi="Times New Roman" w:cs="Times New Roman"/>
          <w:bCs/>
          <w:sz w:val="24"/>
          <w:szCs w:val="24"/>
          <w:u w:val="single"/>
        </w:rPr>
      </w:pPr>
      <w:r w:rsidRPr="003D0E2B">
        <w:rPr>
          <w:rFonts w:ascii="Times New Roman" w:hAnsi="Times New Roman" w:cs="Times New Roman"/>
          <w:bCs/>
          <w:sz w:val="24"/>
          <w:szCs w:val="24"/>
        </w:rPr>
        <w:t>Bu Araştırmada Amaç, Kuzey Kıbrıs Türk Cumhuriyetinde  Son 10 Yılda Polis Genel Müdürlüğü Narkotik Ve Kaçakcılığı Önleme  Müdürlüğünde Görev Yapmakta Olan  Personele Verilen Uyuşturucu Maddelere Yönelik Hizmet İçi Eğitimlerin  Etkililiğini Değerlendirmek Ve Bu Sayede  Bugüne Kadar Verilen Bu Tür Eğitimlerin Genel Durumunu Ortaya Koymak Ve Varsa Eksiklikleri Ortadan Kaldırmak Amaçlanmıştır. Yapılacak Değerlendirmeyle Daha Etkin Bir Eğitim Verilmesi İçin Yapılacaklar Tesbit Edilmeye Çalışılmıştır</w:t>
      </w:r>
      <w:r w:rsidRPr="003D0E2B">
        <w:rPr>
          <w:rFonts w:ascii="Times New Roman" w:hAnsi="Times New Roman" w:cs="Times New Roman"/>
          <w:bCs/>
          <w:sz w:val="24"/>
          <w:szCs w:val="24"/>
          <w:u w:val="single"/>
        </w:rPr>
        <w:t xml:space="preserve"> </w:t>
      </w:r>
    </w:p>
    <w:p w:rsidR="00381D6D" w:rsidRPr="003D0E2B" w:rsidRDefault="00381D6D" w:rsidP="003D0E2B">
      <w:pPr>
        <w:spacing w:line="360" w:lineRule="auto"/>
        <w:jc w:val="both"/>
        <w:rPr>
          <w:rFonts w:ascii="Times New Roman" w:hAnsi="Times New Roman" w:cs="Times New Roman"/>
          <w:b/>
          <w:sz w:val="24"/>
          <w:szCs w:val="24"/>
        </w:rPr>
      </w:pPr>
      <w:r w:rsidRPr="003D0E2B">
        <w:rPr>
          <w:rFonts w:ascii="Times New Roman" w:hAnsi="Times New Roman" w:cs="Times New Roman"/>
          <w:b/>
          <w:bCs/>
          <w:sz w:val="24"/>
          <w:szCs w:val="24"/>
        </w:rPr>
        <w:t>Kapsam</w:t>
      </w:r>
    </w:p>
    <w:p w:rsidR="00396990" w:rsidRPr="003D0E2B" w:rsidRDefault="00381D6D" w:rsidP="003D0E2B">
      <w:pPr>
        <w:spacing w:line="360" w:lineRule="auto"/>
        <w:jc w:val="both"/>
        <w:rPr>
          <w:rFonts w:ascii="Times New Roman" w:hAnsi="Times New Roman" w:cs="Times New Roman"/>
          <w:bCs/>
          <w:sz w:val="24"/>
          <w:szCs w:val="24"/>
        </w:rPr>
      </w:pPr>
      <w:r w:rsidRPr="003D0E2B">
        <w:rPr>
          <w:rFonts w:ascii="Times New Roman" w:hAnsi="Times New Roman" w:cs="Times New Roman"/>
          <w:bCs/>
          <w:sz w:val="24"/>
          <w:szCs w:val="24"/>
        </w:rPr>
        <w:t>Hizmet İçi Eğitimler Değerlendirilirken Narkotik Ve Kaçacılığı Önleme Müdürlüğünde Çalışan Personeli Kapsayacak Şekilde; Planlama, Süreç Ve Değerlendirme Başlıkları Altında Bir Görüşme Formu Hazırlanmış Ve Yazılı Olarak Polislerin Görüşleri Alınmıştır</w:t>
      </w:r>
    </w:p>
    <w:p w:rsidR="00381D6D" w:rsidRPr="003D0E2B" w:rsidRDefault="00381D6D" w:rsidP="003D0E2B">
      <w:pPr>
        <w:spacing w:line="360" w:lineRule="auto"/>
        <w:jc w:val="both"/>
        <w:rPr>
          <w:rFonts w:ascii="Times New Roman" w:hAnsi="Times New Roman" w:cs="Times New Roman"/>
          <w:bCs/>
          <w:sz w:val="24"/>
          <w:szCs w:val="24"/>
        </w:rPr>
      </w:pPr>
      <w:r w:rsidRPr="003D0E2B">
        <w:rPr>
          <w:rFonts w:ascii="Times New Roman" w:hAnsi="Times New Roman" w:cs="Times New Roman"/>
          <w:b/>
          <w:bCs/>
          <w:sz w:val="24"/>
          <w:szCs w:val="24"/>
        </w:rPr>
        <w:t>Yöntem</w:t>
      </w:r>
      <w:r w:rsidRPr="003D0E2B">
        <w:rPr>
          <w:rFonts w:ascii="Times New Roman" w:hAnsi="Times New Roman" w:cs="Times New Roman"/>
          <w:b/>
          <w:bCs/>
          <w:sz w:val="24"/>
          <w:szCs w:val="24"/>
        </w:rPr>
        <w:br/>
      </w:r>
      <w:r w:rsidRPr="003D0E2B">
        <w:rPr>
          <w:rFonts w:ascii="Times New Roman" w:hAnsi="Times New Roman" w:cs="Times New Roman"/>
          <w:bCs/>
          <w:sz w:val="24"/>
          <w:szCs w:val="24"/>
        </w:rPr>
        <w:t>Araştırmada Nitel Araştırma Yaklaşımı Temel Alınmış Ve Durum Çalışması Modeline Uygun Olarak Veriler Toplanmıştır. Amaçlı Örnekleme Uygun Olarak, Narkotik Ve Kaçakcılığı Önleme Müdürlüğünde Çalışan Ve Bu Eğitimleri Alan 41 Polis Araştırmaya Dahil Edilmiş Ve Veri Toplama Aracı Olarak Yarı Yapılandırılmış Görüşme Soruları Kullanılmıştır.</w:t>
      </w:r>
    </w:p>
    <w:p w:rsidR="00381D6D" w:rsidRPr="003D0E2B" w:rsidRDefault="00381D6D" w:rsidP="003D0E2B">
      <w:pPr>
        <w:spacing w:line="360" w:lineRule="auto"/>
        <w:jc w:val="both"/>
        <w:rPr>
          <w:rFonts w:ascii="Times New Roman" w:hAnsi="Times New Roman" w:cs="Times New Roman"/>
          <w:bCs/>
          <w:sz w:val="24"/>
          <w:szCs w:val="24"/>
        </w:rPr>
      </w:pPr>
      <w:r w:rsidRPr="003D0E2B">
        <w:rPr>
          <w:rFonts w:ascii="Times New Roman" w:hAnsi="Times New Roman" w:cs="Times New Roman"/>
          <w:bCs/>
          <w:sz w:val="24"/>
          <w:szCs w:val="24"/>
        </w:rPr>
        <w:t>Elde Edilen Veriler İçerik Analiziyle Değerlendirilmiştir. Narkotik Polisi Olarak  Çalışan Personelin Almış Oldukları Tüm Eğitimler Genel Olarak İfade Edilirken Aynı Zamanda Narkotik Konusunda Almış Oldukları Eğitimlerin Mesleki Verimliliklerine Olan Etkisi Ortaya Konmuş Bu Konuda Yapılabileceklere İlişkin Bir Dizi Öneri Üretilmiştir.</w:t>
      </w:r>
    </w:p>
    <w:p w:rsidR="00093424" w:rsidRDefault="00093424" w:rsidP="003D0E2B">
      <w:pPr>
        <w:spacing w:line="360" w:lineRule="auto"/>
        <w:jc w:val="both"/>
        <w:rPr>
          <w:rFonts w:ascii="Times New Roman" w:hAnsi="Times New Roman" w:cs="Times New Roman"/>
          <w:b/>
          <w:bCs/>
          <w:sz w:val="24"/>
          <w:szCs w:val="24"/>
        </w:rPr>
      </w:pPr>
    </w:p>
    <w:p w:rsidR="00093424" w:rsidRDefault="00093424" w:rsidP="003D0E2B">
      <w:pPr>
        <w:spacing w:line="360" w:lineRule="auto"/>
        <w:jc w:val="both"/>
        <w:rPr>
          <w:rFonts w:ascii="Times New Roman" w:hAnsi="Times New Roman" w:cs="Times New Roman"/>
          <w:b/>
          <w:bCs/>
          <w:sz w:val="24"/>
          <w:szCs w:val="24"/>
        </w:rPr>
      </w:pPr>
    </w:p>
    <w:p w:rsidR="00093424" w:rsidRDefault="00093424" w:rsidP="003D0E2B">
      <w:pPr>
        <w:spacing w:line="360" w:lineRule="auto"/>
        <w:jc w:val="both"/>
        <w:rPr>
          <w:rFonts w:ascii="Times New Roman" w:hAnsi="Times New Roman" w:cs="Times New Roman"/>
          <w:b/>
          <w:bCs/>
          <w:sz w:val="24"/>
          <w:szCs w:val="24"/>
        </w:rPr>
      </w:pPr>
    </w:p>
    <w:p w:rsidR="00093424" w:rsidRDefault="00093424" w:rsidP="003D0E2B">
      <w:pPr>
        <w:spacing w:line="360" w:lineRule="auto"/>
        <w:jc w:val="both"/>
        <w:rPr>
          <w:rFonts w:ascii="Times New Roman" w:hAnsi="Times New Roman" w:cs="Times New Roman"/>
          <w:b/>
          <w:bCs/>
          <w:sz w:val="24"/>
          <w:szCs w:val="24"/>
        </w:rPr>
      </w:pPr>
    </w:p>
    <w:p w:rsidR="00381D6D" w:rsidRPr="003D0E2B" w:rsidRDefault="00381D6D" w:rsidP="003D0E2B">
      <w:pPr>
        <w:spacing w:line="360" w:lineRule="auto"/>
        <w:jc w:val="both"/>
        <w:rPr>
          <w:rFonts w:ascii="Times New Roman" w:hAnsi="Times New Roman" w:cs="Times New Roman"/>
          <w:b/>
          <w:bCs/>
          <w:sz w:val="24"/>
          <w:szCs w:val="24"/>
        </w:rPr>
      </w:pPr>
      <w:r w:rsidRPr="003D0E2B">
        <w:rPr>
          <w:rFonts w:ascii="Times New Roman" w:hAnsi="Times New Roman" w:cs="Times New Roman"/>
          <w:b/>
          <w:bCs/>
          <w:sz w:val="24"/>
          <w:szCs w:val="24"/>
        </w:rPr>
        <w:lastRenderedPageBreak/>
        <w:t>Yazılı Görüş Formu İçeriği</w:t>
      </w:r>
    </w:p>
    <w:p w:rsidR="00381D6D" w:rsidRPr="003D0E2B" w:rsidRDefault="00381D6D" w:rsidP="003D0E2B">
      <w:pPr>
        <w:spacing w:line="360" w:lineRule="auto"/>
        <w:jc w:val="both"/>
        <w:rPr>
          <w:rFonts w:ascii="Times New Roman" w:hAnsi="Times New Roman" w:cs="Times New Roman"/>
          <w:bCs/>
          <w:sz w:val="24"/>
          <w:szCs w:val="24"/>
        </w:rPr>
      </w:pPr>
      <w:r w:rsidRPr="003D0E2B">
        <w:rPr>
          <w:rFonts w:ascii="Times New Roman" w:hAnsi="Times New Roman" w:cs="Times New Roman"/>
          <w:bCs/>
          <w:sz w:val="24"/>
          <w:szCs w:val="24"/>
        </w:rPr>
        <w:t xml:space="preserve">Yazılı Görüş Formu Üç Bölümden Oluşmaktadır.İlk Beş Soru Eğitimlerin Planlanması, Sonraki Üç Soru Uygulama / Sürece İlişkin Ve Son İki Soru İse Değerlendirmeye Yöneliktir. </w:t>
      </w:r>
      <w:r w:rsidRPr="003D0E2B">
        <w:rPr>
          <w:rFonts w:ascii="Times New Roman" w:hAnsi="Times New Roman" w:cs="Times New Roman"/>
          <w:bCs/>
          <w:sz w:val="24"/>
          <w:szCs w:val="24"/>
        </w:rPr>
        <w:br/>
        <w:t>1-Planlama</w:t>
      </w:r>
      <w:r w:rsidRPr="003D0E2B">
        <w:rPr>
          <w:rFonts w:ascii="Times New Roman" w:hAnsi="Times New Roman" w:cs="Times New Roman"/>
          <w:bCs/>
          <w:sz w:val="24"/>
          <w:szCs w:val="24"/>
        </w:rPr>
        <w:br/>
        <w:t xml:space="preserve">2-Uygulama/Süreç </w:t>
      </w:r>
      <w:r w:rsidRPr="003D0E2B">
        <w:rPr>
          <w:rFonts w:ascii="Times New Roman" w:hAnsi="Times New Roman" w:cs="Times New Roman"/>
          <w:bCs/>
          <w:sz w:val="24"/>
          <w:szCs w:val="24"/>
        </w:rPr>
        <w:br/>
        <w:t>3-Değerlendirme’</w:t>
      </w:r>
    </w:p>
    <w:p w:rsidR="00381D6D" w:rsidRPr="003D0E2B" w:rsidRDefault="00E53A2F" w:rsidP="003D0E2B">
      <w:pPr>
        <w:spacing w:line="360" w:lineRule="auto"/>
        <w:jc w:val="both"/>
        <w:rPr>
          <w:rFonts w:ascii="Times New Roman" w:hAnsi="Times New Roman" w:cs="Times New Roman"/>
          <w:bCs/>
          <w:sz w:val="24"/>
          <w:szCs w:val="24"/>
        </w:rPr>
      </w:pPr>
      <w:r w:rsidRPr="003D0E2B">
        <w:rPr>
          <w:rFonts w:ascii="Times New Roman" w:hAnsi="Times New Roman" w:cs="Times New Roman"/>
          <w:bCs/>
          <w:sz w:val="24"/>
          <w:szCs w:val="24"/>
        </w:rPr>
        <w:t>Sorular</w:t>
      </w:r>
    </w:p>
    <w:p w:rsidR="00381D6D" w:rsidRPr="003D0E2B" w:rsidRDefault="00381D6D" w:rsidP="003D0E2B">
      <w:pPr>
        <w:spacing w:line="360" w:lineRule="auto"/>
        <w:jc w:val="both"/>
        <w:rPr>
          <w:rFonts w:ascii="Times New Roman" w:hAnsi="Times New Roman" w:cs="Times New Roman"/>
          <w:sz w:val="24"/>
          <w:szCs w:val="24"/>
        </w:rPr>
      </w:pPr>
      <w:r w:rsidRPr="003D0E2B">
        <w:rPr>
          <w:rFonts w:ascii="Times New Roman" w:hAnsi="Times New Roman" w:cs="Times New Roman"/>
          <w:bCs/>
          <w:sz w:val="24"/>
          <w:szCs w:val="24"/>
        </w:rPr>
        <w:t>1-Narkotik Ve Uyuşturucu Maddelerle İlgili Eğitimin  Yapılma Amacı Neydi? Sizce Amaçlara Ulaşıldı Mı?</w:t>
      </w:r>
    </w:p>
    <w:p w:rsidR="00381D6D" w:rsidRPr="003D0E2B" w:rsidRDefault="00381D6D" w:rsidP="003D0E2B">
      <w:pPr>
        <w:spacing w:line="360" w:lineRule="auto"/>
        <w:jc w:val="both"/>
        <w:rPr>
          <w:rFonts w:ascii="Times New Roman" w:hAnsi="Times New Roman" w:cs="Times New Roman"/>
          <w:sz w:val="24"/>
          <w:szCs w:val="24"/>
        </w:rPr>
      </w:pPr>
      <w:r w:rsidRPr="003D0E2B">
        <w:rPr>
          <w:rFonts w:ascii="Times New Roman" w:hAnsi="Times New Roman" w:cs="Times New Roman"/>
          <w:bCs/>
          <w:sz w:val="24"/>
          <w:szCs w:val="24"/>
        </w:rPr>
        <w:t>2-Narkotik Ve Uyuşturucu Maddelerle İlgili Eğitimi Kim/Kimler Verdi?  Veren Kişiler Yetkin Miydi?</w:t>
      </w:r>
    </w:p>
    <w:p w:rsidR="00381D6D" w:rsidRPr="003D0E2B" w:rsidRDefault="00381D6D" w:rsidP="003D0E2B">
      <w:pPr>
        <w:spacing w:line="360" w:lineRule="auto"/>
        <w:jc w:val="both"/>
        <w:rPr>
          <w:rFonts w:ascii="Times New Roman" w:hAnsi="Times New Roman" w:cs="Times New Roman"/>
          <w:sz w:val="24"/>
          <w:szCs w:val="24"/>
        </w:rPr>
      </w:pPr>
      <w:r w:rsidRPr="003D0E2B">
        <w:rPr>
          <w:rFonts w:ascii="Times New Roman" w:hAnsi="Times New Roman" w:cs="Times New Roman"/>
          <w:bCs/>
          <w:sz w:val="24"/>
          <w:szCs w:val="24"/>
        </w:rPr>
        <w:t>3-Narkotik Ve Uyuşturucu Maddelerle İlgili Eğitimin Süresi Ne Kadardı? Süre Yeterli Miydi?</w:t>
      </w:r>
    </w:p>
    <w:p w:rsidR="00381D6D" w:rsidRPr="003D0E2B" w:rsidRDefault="00381D6D" w:rsidP="003D0E2B">
      <w:pPr>
        <w:spacing w:line="360" w:lineRule="auto"/>
        <w:jc w:val="both"/>
        <w:rPr>
          <w:rFonts w:ascii="Times New Roman" w:hAnsi="Times New Roman" w:cs="Times New Roman"/>
          <w:sz w:val="24"/>
          <w:szCs w:val="24"/>
        </w:rPr>
      </w:pPr>
      <w:r w:rsidRPr="003D0E2B">
        <w:rPr>
          <w:rFonts w:ascii="Times New Roman" w:hAnsi="Times New Roman" w:cs="Times New Roman"/>
          <w:bCs/>
          <w:sz w:val="24"/>
          <w:szCs w:val="24"/>
        </w:rPr>
        <w:t>4-Narkotik Ve Uyuşturucu Maddelerle İlgili Eğitim Nerede Yapıldı? Yapılan Ortam Uygun Muydu?</w:t>
      </w:r>
    </w:p>
    <w:p w:rsidR="00381D6D" w:rsidRPr="003D0E2B" w:rsidRDefault="00381D6D" w:rsidP="003D0E2B">
      <w:pPr>
        <w:spacing w:line="360" w:lineRule="auto"/>
        <w:jc w:val="both"/>
        <w:rPr>
          <w:rFonts w:ascii="Times New Roman" w:hAnsi="Times New Roman" w:cs="Times New Roman"/>
          <w:sz w:val="24"/>
          <w:szCs w:val="24"/>
        </w:rPr>
      </w:pPr>
      <w:r w:rsidRPr="003D0E2B">
        <w:rPr>
          <w:rFonts w:ascii="Times New Roman" w:hAnsi="Times New Roman" w:cs="Times New Roman"/>
          <w:bCs/>
          <w:sz w:val="24"/>
          <w:szCs w:val="24"/>
        </w:rPr>
        <w:t>5-Narkotik Ve Uyuşturucu Maddelerle İlgili Eğitim Genel Olarak Planlanmış Bir Biçimde Mi Yürütüldü?</w:t>
      </w:r>
    </w:p>
    <w:p w:rsidR="00381D6D" w:rsidRPr="003D0E2B" w:rsidRDefault="00381D6D" w:rsidP="003D0E2B">
      <w:pPr>
        <w:spacing w:line="360" w:lineRule="auto"/>
        <w:jc w:val="both"/>
        <w:rPr>
          <w:rFonts w:ascii="Times New Roman" w:hAnsi="Times New Roman" w:cs="Times New Roman"/>
          <w:sz w:val="24"/>
          <w:szCs w:val="24"/>
        </w:rPr>
      </w:pPr>
      <w:r w:rsidRPr="003D0E2B">
        <w:rPr>
          <w:rFonts w:ascii="Times New Roman" w:hAnsi="Times New Roman" w:cs="Times New Roman"/>
          <w:bCs/>
          <w:sz w:val="24"/>
          <w:szCs w:val="24"/>
        </w:rPr>
        <w:t xml:space="preserve">6-Narkotik Ve Uyuşturucu Maddelerle İlgili Eğitimlerde Ele Alınan Konu Başlıkları, Eğitimin İçeriği Neydi? </w:t>
      </w:r>
    </w:p>
    <w:p w:rsidR="00381D6D" w:rsidRPr="003D0E2B" w:rsidRDefault="00381D6D" w:rsidP="003D0E2B">
      <w:pPr>
        <w:spacing w:line="360" w:lineRule="auto"/>
        <w:jc w:val="both"/>
        <w:rPr>
          <w:rFonts w:ascii="Times New Roman" w:hAnsi="Times New Roman" w:cs="Times New Roman"/>
          <w:sz w:val="24"/>
          <w:szCs w:val="24"/>
        </w:rPr>
      </w:pPr>
      <w:r w:rsidRPr="003D0E2B">
        <w:rPr>
          <w:rFonts w:ascii="Times New Roman" w:hAnsi="Times New Roman" w:cs="Times New Roman"/>
          <w:bCs/>
          <w:sz w:val="24"/>
          <w:szCs w:val="24"/>
        </w:rPr>
        <w:t xml:space="preserve">7-Narkotik Ve Uyuşturucu Maddelerle İlgili Eğitim Teorik Miydi Yoksa Uygulamalı Mıydı? </w:t>
      </w:r>
    </w:p>
    <w:p w:rsidR="00381D6D" w:rsidRPr="003D0E2B" w:rsidRDefault="00381D6D" w:rsidP="003D0E2B">
      <w:pPr>
        <w:spacing w:line="360" w:lineRule="auto"/>
        <w:jc w:val="both"/>
        <w:rPr>
          <w:rFonts w:ascii="Times New Roman" w:hAnsi="Times New Roman" w:cs="Times New Roman"/>
          <w:sz w:val="24"/>
          <w:szCs w:val="24"/>
        </w:rPr>
      </w:pPr>
      <w:r w:rsidRPr="003D0E2B">
        <w:rPr>
          <w:rFonts w:ascii="Times New Roman" w:hAnsi="Times New Roman" w:cs="Times New Roman"/>
          <w:bCs/>
          <w:sz w:val="24"/>
          <w:szCs w:val="24"/>
        </w:rPr>
        <w:t>8-Narkotik Ve Uyuşturucu Maddelerle İlgili Eğitimde Görsel (Fotoğraf Vb.), İşitsel (Cd Vs) Ya Da Görsel İşitsel (Bilgisayar Vs) Araç-Materyallerden Yararlanıldı Mı?</w:t>
      </w:r>
    </w:p>
    <w:p w:rsidR="00381D6D" w:rsidRPr="003D0E2B" w:rsidRDefault="00381D6D" w:rsidP="003D0E2B">
      <w:pPr>
        <w:spacing w:line="360" w:lineRule="auto"/>
        <w:jc w:val="both"/>
        <w:rPr>
          <w:rFonts w:ascii="Times New Roman" w:hAnsi="Times New Roman" w:cs="Times New Roman"/>
          <w:bCs/>
          <w:sz w:val="24"/>
          <w:szCs w:val="24"/>
        </w:rPr>
      </w:pPr>
      <w:r w:rsidRPr="003D0E2B">
        <w:rPr>
          <w:rFonts w:ascii="Times New Roman" w:hAnsi="Times New Roman" w:cs="Times New Roman"/>
          <w:bCs/>
          <w:sz w:val="24"/>
          <w:szCs w:val="24"/>
        </w:rPr>
        <w:t>9- Narkotik Ve Uyuşturucu Maddelerle İlgili  Eğitim Sizce Yeterli Midir?</w:t>
      </w:r>
      <w:r w:rsidRPr="003D0E2B">
        <w:rPr>
          <w:rFonts w:ascii="Times New Roman" w:hAnsi="Times New Roman" w:cs="Times New Roman"/>
          <w:bCs/>
          <w:sz w:val="24"/>
          <w:szCs w:val="24"/>
        </w:rPr>
        <w:br/>
        <w:t>10-Bu Eğitimi Veren Eğitimci Siz Olsaydınız, Mevcut Eğitimden  Farklı Olarak Neler Yapmak İsterdiniz?</w:t>
      </w:r>
    </w:p>
    <w:p w:rsidR="00381D6D" w:rsidRPr="003D0E2B" w:rsidRDefault="00381D6D" w:rsidP="003D0E2B">
      <w:pPr>
        <w:spacing w:line="360" w:lineRule="auto"/>
        <w:jc w:val="both"/>
        <w:rPr>
          <w:rFonts w:ascii="Times New Roman" w:hAnsi="Times New Roman" w:cs="Times New Roman"/>
          <w:bCs/>
          <w:sz w:val="24"/>
          <w:szCs w:val="24"/>
        </w:rPr>
      </w:pPr>
      <w:r w:rsidRPr="003D0E2B">
        <w:rPr>
          <w:rFonts w:ascii="Times New Roman" w:hAnsi="Times New Roman" w:cs="Times New Roman"/>
          <w:bCs/>
          <w:sz w:val="24"/>
          <w:szCs w:val="24"/>
        </w:rPr>
        <w:t xml:space="preserve">Araştırmacı Tarafından Dikkkat Edilen Önemli Noktalar </w:t>
      </w:r>
    </w:p>
    <w:p w:rsidR="00381D6D" w:rsidRPr="003D0E2B" w:rsidRDefault="00381D6D" w:rsidP="003D0E2B">
      <w:pPr>
        <w:spacing w:line="360" w:lineRule="auto"/>
        <w:jc w:val="both"/>
        <w:rPr>
          <w:rFonts w:ascii="Times New Roman" w:hAnsi="Times New Roman" w:cs="Times New Roman"/>
          <w:sz w:val="24"/>
          <w:szCs w:val="24"/>
        </w:rPr>
      </w:pPr>
      <w:r w:rsidRPr="003D0E2B">
        <w:rPr>
          <w:rFonts w:ascii="Times New Roman" w:hAnsi="Times New Roman" w:cs="Times New Roman"/>
          <w:bCs/>
          <w:sz w:val="24"/>
          <w:szCs w:val="24"/>
        </w:rPr>
        <w:lastRenderedPageBreak/>
        <w:t xml:space="preserve">1-Eğitim, Hizmet İçi Polis Eğitimi, Narkotik Maddelerle İlgili Eğitim Konularında Var Olan Literatür </w:t>
      </w:r>
      <w:r w:rsidRPr="003D0E2B">
        <w:rPr>
          <w:rFonts w:ascii="Times New Roman" w:hAnsi="Times New Roman" w:cs="Times New Roman"/>
          <w:bCs/>
          <w:sz w:val="24"/>
          <w:szCs w:val="24"/>
        </w:rPr>
        <w:br/>
      </w:r>
      <w:r w:rsidRPr="003D0E2B">
        <w:rPr>
          <w:rFonts w:ascii="Times New Roman" w:hAnsi="Times New Roman" w:cs="Times New Roman"/>
          <w:bCs/>
          <w:sz w:val="24"/>
          <w:szCs w:val="24"/>
        </w:rPr>
        <w:br/>
        <w:t>2-Yazılı Görüş Formu Uygularken Yönlendirmekten Kaçınma.</w:t>
      </w:r>
      <w:r w:rsidRPr="003D0E2B">
        <w:rPr>
          <w:rFonts w:ascii="Times New Roman" w:hAnsi="Times New Roman" w:cs="Times New Roman"/>
          <w:bCs/>
          <w:sz w:val="24"/>
          <w:szCs w:val="24"/>
        </w:rPr>
        <w:br/>
      </w:r>
      <w:r w:rsidRPr="003D0E2B">
        <w:rPr>
          <w:rFonts w:ascii="Times New Roman" w:hAnsi="Times New Roman" w:cs="Times New Roman"/>
          <w:bCs/>
          <w:sz w:val="24"/>
          <w:szCs w:val="24"/>
        </w:rPr>
        <w:br/>
        <w:t>3-İçerik Analizi Yapılırken Güvenirlik Ve Geçerlik  Konularına Hassasiyet Gösterme.</w:t>
      </w:r>
      <w:r w:rsidRPr="003D0E2B">
        <w:rPr>
          <w:rFonts w:ascii="Times New Roman" w:hAnsi="Times New Roman" w:cs="Times New Roman"/>
          <w:bCs/>
          <w:sz w:val="24"/>
          <w:szCs w:val="24"/>
        </w:rPr>
        <w:br/>
      </w:r>
      <w:r w:rsidRPr="003D0E2B">
        <w:rPr>
          <w:rFonts w:ascii="Times New Roman" w:hAnsi="Times New Roman" w:cs="Times New Roman"/>
          <w:bCs/>
          <w:sz w:val="24"/>
          <w:szCs w:val="24"/>
        </w:rPr>
        <w:br/>
        <w:t>4-Görüşleri Olduğu Gibi Değerlendirip Reel Sonuçların Çıkması Ve Öneriler</w:t>
      </w:r>
    </w:p>
    <w:p w:rsidR="00381D6D" w:rsidRPr="003D0E2B" w:rsidRDefault="00381D6D" w:rsidP="003D0E2B">
      <w:pPr>
        <w:spacing w:line="360" w:lineRule="auto"/>
        <w:jc w:val="both"/>
        <w:rPr>
          <w:rFonts w:ascii="Times New Roman" w:hAnsi="Times New Roman" w:cs="Times New Roman"/>
          <w:bCs/>
          <w:sz w:val="24"/>
          <w:szCs w:val="24"/>
        </w:rPr>
      </w:pPr>
      <w:r w:rsidRPr="003D0E2B">
        <w:rPr>
          <w:rFonts w:ascii="Times New Roman" w:hAnsi="Times New Roman" w:cs="Times New Roman"/>
          <w:bCs/>
          <w:sz w:val="24"/>
          <w:szCs w:val="24"/>
        </w:rPr>
        <w:t>Narkotik Ve Kaçakcılığı Önleme Müdürlüğünde Çalışan Personelin Genel Olarak Almış Olduğu Eğitimler</w:t>
      </w:r>
    </w:p>
    <w:p w:rsidR="00381D6D" w:rsidRPr="003D0E2B" w:rsidRDefault="00381D6D" w:rsidP="003D0E2B">
      <w:pPr>
        <w:spacing w:line="360" w:lineRule="auto"/>
        <w:jc w:val="both"/>
        <w:rPr>
          <w:rFonts w:ascii="Times New Roman" w:hAnsi="Times New Roman" w:cs="Times New Roman"/>
          <w:sz w:val="24"/>
          <w:szCs w:val="24"/>
        </w:rPr>
      </w:pPr>
      <w:r w:rsidRPr="003D0E2B">
        <w:rPr>
          <w:rFonts w:ascii="Times New Roman" w:hAnsi="Times New Roman" w:cs="Times New Roman"/>
          <w:bCs/>
          <w:sz w:val="24"/>
          <w:szCs w:val="24"/>
        </w:rPr>
        <w:t>Meslekte Belli Bir Deneyim Kazandıktan Sonra;Görev Alanına Göre Düzenlenen Eğitimlerdir. Polis Örgütü Bünyesinde Değişik Görevlerde Bulunan, Rütbe, Ünvan Ve Eğitim Durumu Açısından Değişik Düzeydeki Personelin Hizmet İçi Eğitimler</w:t>
      </w:r>
      <w:r w:rsidR="005016BC" w:rsidRPr="003D0E2B">
        <w:rPr>
          <w:rFonts w:ascii="Times New Roman" w:hAnsi="Times New Roman" w:cs="Times New Roman"/>
          <w:b/>
          <w:bCs/>
          <w:sz w:val="24"/>
          <w:szCs w:val="24"/>
        </w:rPr>
        <w:t>i</w:t>
      </w:r>
    </w:p>
    <w:p w:rsidR="00F70383" w:rsidRPr="003D0E2B" w:rsidRDefault="00381D6D" w:rsidP="003D0E2B">
      <w:pPr>
        <w:spacing w:line="360" w:lineRule="auto"/>
        <w:jc w:val="both"/>
        <w:rPr>
          <w:rFonts w:ascii="Times New Roman" w:hAnsi="Times New Roman" w:cs="Times New Roman"/>
          <w:sz w:val="24"/>
          <w:szCs w:val="24"/>
        </w:rPr>
      </w:pPr>
      <w:r w:rsidRPr="003D0E2B">
        <w:rPr>
          <w:rFonts w:ascii="Times New Roman" w:hAnsi="Times New Roman" w:cs="Times New Roman"/>
          <w:sz w:val="24"/>
          <w:szCs w:val="24"/>
        </w:rPr>
        <w:drawing>
          <wp:inline distT="0" distB="0" distL="0" distR="0">
            <wp:extent cx="5712031" cy="2759776"/>
            <wp:effectExtent l="0" t="1905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F70383" w:rsidRPr="003D0E2B" w:rsidRDefault="00F70383" w:rsidP="003D0E2B">
      <w:pPr>
        <w:tabs>
          <w:tab w:val="left" w:pos="3142"/>
        </w:tabs>
        <w:spacing w:line="360" w:lineRule="auto"/>
        <w:rPr>
          <w:rFonts w:ascii="Times New Roman" w:hAnsi="Times New Roman" w:cs="Times New Roman"/>
          <w:sz w:val="24"/>
          <w:szCs w:val="24"/>
        </w:rPr>
      </w:pPr>
      <w:r w:rsidRPr="003D0E2B">
        <w:rPr>
          <w:rFonts w:ascii="Times New Roman" w:hAnsi="Times New Roman" w:cs="Times New Roman"/>
          <w:sz w:val="24"/>
          <w:szCs w:val="24"/>
        </w:rPr>
        <w:tab/>
      </w:r>
    </w:p>
    <w:p w:rsidR="00F70383" w:rsidRPr="003D0E2B" w:rsidRDefault="00F70383" w:rsidP="003D0E2B">
      <w:pPr>
        <w:spacing w:line="360" w:lineRule="auto"/>
        <w:rPr>
          <w:rFonts w:ascii="Times New Roman" w:hAnsi="Times New Roman" w:cs="Times New Roman"/>
          <w:sz w:val="24"/>
          <w:szCs w:val="24"/>
        </w:rPr>
      </w:pPr>
      <w:r w:rsidRPr="003D0E2B">
        <w:rPr>
          <w:rFonts w:ascii="Times New Roman" w:hAnsi="Times New Roman" w:cs="Times New Roman"/>
          <w:sz w:val="24"/>
          <w:szCs w:val="24"/>
        </w:rPr>
        <w:br w:type="page"/>
      </w:r>
    </w:p>
    <w:p w:rsidR="00F70383" w:rsidRPr="003D0E2B" w:rsidRDefault="00F70383" w:rsidP="003D0E2B">
      <w:pPr>
        <w:tabs>
          <w:tab w:val="left" w:pos="3142"/>
        </w:tabs>
        <w:spacing w:line="360" w:lineRule="auto"/>
        <w:jc w:val="both"/>
        <w:rPr>
          <w:rFonts w:ascii="Times New Roman" w:hAnsi="Times New Roman" w:cs="Times New Roman"/>
          <w:sz w:val="24"/>
          <w:szCs w:val="24"/>
        </w:rPr>
      </w:pPr>
      <w:r w:rsidRPr="003D0E2B">
        <w:rPr>
          <w:rFonts w:ascii="Times New Roman" w:hAnsi="Times New Roman" w:cs="Times New Roman"/>
          <w:bCs/>
          <w:sz w:val="24"/>
          <w:szCs w:val="24"/>
        </w:rPr>
        <w:lastRenderedPageBreak/>
        <w:t xml:space="preserve">Personelin Almış Olduğu Eğitimlerin Genel Değerlendirmesi  Yapılırken Yukarıda Belirttiğimiz Eğitimlerin Tümü Göz Önünde Bulundurularak Bir Değerlendirme Yapılmıştır. </w:t>
      </w:r>
    </w:p>
    <w:p w:rsidR="00381D6D" w:rsidRPr="003D0E2B" w:rsidRDefault="00F70383" w:rsidP="003D0E2B">
      <w:pPr>
        <w:tabs>
          <w:tab w:val="left" w:pos="3142"/>
        </w:tabs>
        <w:spacing w:line="360" w:lineRule="auto"/>
        <w:rPr>
          <w:rFonts w:ascii="Times New Roman" w:hAnsi="Times New Roman" w:cs="Times New Roman"/>
          <w:bCs/>
          <w:sz w:val="24"/>
          <w:szCs w:val="24"/>
        </w:rPr>
      </w:pPr>
      <w:r w:rsidRPr="003D0E2B">
        <w:rPr>
          <w:rFonts w:ascii="Times New Roman" w:hAnsi="Times New Roman" w:cs="Times New Roman"/>
          <w:bCs/>
          <w:sz w:val="24"/>
          <w:szCs w:val="24"/>
        </w:rPr>
        <w:t>Olarak Ayrıca Değerlendirilmiş. Bunlar Eğitim Yeri ( Yurt İçi Ve Yurt Dışı) Eğitimler Alt Grupları Oluşturulup İncelenmiştir</w:t>
      </w:r>
    </w:p>
    <w:p w:rsidR="00F70383" w:rsidRPr="003D0E2B" w:rsidRDefault="00F70383" w:rsidP="003D0E2B">
      <w:pPr>
        <w:tabs>
          <w:tab w:val="left" w:pos="3142"/>
        </w:tabs>
        <w:spacing w:line="360" w:lineRule="auto"/>
        <w:jc w:val="center"/>
        <w:rPr>
          <w:rFonts w:ascii="Times New Roman" w:hAnsi="Times New Roman" w:cs="Times New Roman"/>
          <w:bCs/>
          <w:sz w:val="24"/>
          <w:szCs w:val="24"/>
        </w:rPr>
      </w:pPr>
      <w:r w:rsidRPr="003D0E2B">
        <w:rPr>
          <w:rFonts w:ascii="Times New Roman" w:hAnsi="Times New Roman" w:cs="Times New Roman"/>
          <w:b/>
          <w:bCs/>
          <w:sz w:val="24"/>
          <w:szCs w:val="24"/>
        </w:rPr>
        <w:t>Narkotik Ve Uyuşturucu Maddelerle İlgili Almış Oldukları Eğitimler (Özel Ve İleri Hizmet İçi Eğitimler)</w:t>
      </w:r>
      <w:r w:rsidRPr="003D0E2B">
        <w:rPr>
          <w:rFonts w:ascii="Times New Roman" w:hAnsi="Times New Roman" w:cs="Times New Roman"/>
          <w:bCs/>
          <w:sz w:val="24"/>
          <w:szCs w:val="24"/>
        </w:rPr>
        <w:t xml:space="preserve"> </w:t>
      </w:r>
      <w:r w:rsidRPr="003D0E2B">
        <w:rPr>
          <w:rFonts w:ascii="Times New Roman" w:hAnsi="Times New Roman" w:cs="Times New Roman"/>
          <w:bCs/>
          <w:sz w:val="24"/>
          <w:szCs w:val="24"/>
        </w:rPr>
        <w:drawing>
          <wp:inline distT="0" distB="0" distL="0" distR="0">
            <wp:extent cx="5972810" cy="2240915"/>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0383" w:rsidRPr="003D0E2B" w:rsidRDefault="00F70383" w:rsidP="003D0E2B">
      <w:pPr>
        <w:tabs>
          <w:tab w:val="left" w:pos="3142"/>
        </w:tabs>
        <w:spacing w:line="360" w:lineRule="auto"/>
        <w:rPr>
          <w:rFonts w:ascii="Times New Roman" w:hAnsi="Times New Roman" w:cs="Times New Roman"/>
          <w:b/>
          <w:bCs/>
          <w:sz w:val="24"/>
          <w:szCs w:val="24"/>
        </w:rPr>
      </w:pPr>
      <w:r w:rsidRPr="003D0E2B">
        <w:rPr>
          <w:rFonts w:ascii="Times New Roman" w:hAnsi="Times New Roman" w:cs="Times New Roman"/>
          <w:b/>
          <w:bCs/>
          <w:sz w:val="24"/>
          <w:szCs w:val="24"/>
        </w:rPr>
        <w:t>Narkotik Ve Kaçakcılığı Önleme Müdürlüğünde Çalışan Personelin Uyuşturucu Ve Benzeri Konularda Almış Olduğu Yurtiçi Ve Yurtdışı  Eğitimler</w:t>
      </w:r>
    </w:p>
    <w:p w:rsidR="00F70383" w:rsidRPr="003D0E2B" w:rsidRDefault="00F70383" w:rsidP="003D0E2B">
      <w:pPr>
        <w:tabs>
          <w:tab w:val="left" w:pos="3142"/>
        </w:tabs>
        <w:spacing w:line="360" w:lineRule="auto"/>
        <w:rPr>
          <w:rFonts w:ascii="Times New Roman" w:hAnsi="Times New Roman" w:cs="Times New Roman"/>
          <w:sz w:val="24"/>
          <w:szCs w:val="24"/>
        </w:rPr>
      </w:pPr>
      <w:r w:rsidRPr="003D0E2B">
        <w:rPr>
          <w:rFonts w:ascii="Times New Roman" w:hAnsi="Times New Roman" w:cs="Times New Roman"/>
          <w:sz w:val="24"/>
          <w:szCs w:val="24"/>
        </w:rPr>
        <w:drawing>
          <wp:inline distT="0" distB="0" distL="0" distR="0">
            <wp:extent cx="6301608" cy="2956955"/>
            <wp:effectExtent l="19050" t="0" r="22992"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0383" w:rsidRPr="003D0E2B" w:rsidRDefault="00F70383" w:rsidP="003D0E2B">
      <w:pPr>
        <w:tabs>
          <w:tab w:val="left" w:pos="1122"/>
        </w:tabs>
        <w:spacing w:line="360" w:lineRule="auto"/>
        <w:rPr>
          <w:rFonts w:ascii="Times New Roman" w:hAnsi="Times New Roman" w:cs="Times New Roman"/>
          <w:sz w:val="24"/>
          <w:szCs w:val="24"/>
        </w:rPr>
      </w:pPr>
    </w:p>
    <w:p w:rsidR="00F70383" w:rsidRPr="003D0E2B" w:rsidRDefault="00F70383" w:rsidP="003D0E2B">
      <w:pPr>
        <w:spacing w:line="360" w:lineRule="auto"/>
        <w:rPr>
          <w:rFonts w:ascii="Times New Roman" w:hAnsi="Times New Roman" w:cs="Times New Roman"/>
          <w:b/>
          <w:sz w:val="24"/>
          <w:szCs w:val="24"/>
        </w:rPr>
      </w:pPr>
      <w:r w:rsidRPr="003D0E2B">
        <w:rPr>
          <w:rFonts w:ascii="Times New Roman" w:hAnsi="Times New Roman" w:cs="Times New Roman"/>
          <w:b/>
          <w:sz w:val="24"/>
          <w:szCs w:val="24"/>
        </w:rPr>
        <w:lastRenderedPageBreak/>
        <w:t>Sonuç ve Öneriler</w:t>
      </w:r>
    </w:p>
    <w:p w:rsidR="00F70383" w:rsidRPr="003D0E2B" w:rsidRDefault="00F70383" w:rsidP="003D0E2B">
      <w:pPr>
        <w:spacing w:line="360" w:lineRule="auto"/>
        <w:jc w:val="both"/>
        <w:rPr>
          <w:rFonts w:ascii="Times New Roman" w:hAnsi="Times New Roman" w:cs="Times New Roman"/>
          <w:sz w:val="24"/>
          <w:szCs w:val="24"/>
        </w:rPr>
      </w:pPr>
      <w:r w:rsidRPr="003D0E2B">
        <w:rPr>
          <w:rFonts w:ascii="Times New Roman" w:hAnsi="Times New Roman" w:cs="Times New Roman"/>
          <w:bCs/>
          <w:sz w:val="24"/>
          <w:szCs w:val="24"/>
        </w:rPr>
        <w:t xml:space="preserve">       Yapılan eğitimlerin amacının uyuşturucu maddelerin ve kullananların tanınması, takip edilmesi, aranması ve personelin  bu konularda bilgilerini dahada artırdıkları sonucuna varılmıştır. Ancak küçük bir grup(4 kişi) pek çok eğitim almalarına rağmen bu konuda bir eğitim almadıkları için bu eğitimlerin amacına ilişkin fikir beyanında bulunmamışlardır.eğitimlerin yapılma amaçlarına ulaşıldığı sonucu ortaya çıkmıştır</w:t>
      </w:r>
    </w:p>
    <w:p w:rsidR="00F70383" w:rsidRPr="003D0E2B" w:rsidRDefault="00F70383" w:rsidP="003D0E2B">
      <w:pPr>
        <w:spacing w:line="360" w:lineRule="auto"/>
        <w:jc w:val="both"/>
        <w:rPr>
          <w:rFonts w:ascii="Times New Roman" w:hAnsi="Times New Roman" w:cs="Times New Roman"/>
          <w:bCs/>
          <w:sz w:val="24"/>
          <w:szCs w:val="24"/>
        </w:rPr>
      </w:pPr>
      <w:r w:rsidRPr="003D0E2B">
        <w:rPr>
          <w:rFonts w:ascii="Times New Roman" w:hAnsi="Times New Roman" w:cs="Times New Roman"/>
          <w:bCs/>
          <w:sz w:val="24"/>
          <w:szCs w:val="24"/>
        </w:rPr>
        <w:t xml:space="preserve">          Yapılan eğitimleri veren kişilerin polis genel müdürlüğü ve TC. Emniyet genel müdürlüğü kadrolarında çalışan kişler tarafından verildiği belirtilmiştir.her iki eğitimci grubunuda alanlarında uzman ve yetkin kişiler olduğu ortaya çıkmıştır.eğitim veren kişilerin yeterli olmadığı yönünde herhangi bir olumsuzluk yoktur</w:t>
      </w:r>
    </w:p>
    <w:p w:rsidR="00F70383" w:rsidRPr="003D0E2B" w:rsidRDefault="00F70383" w:rsidP="003D0E2B">
      <w:pPr>
        <w:spacing w:line="360" w:lineRule="auto"/>
        <w:jc w:val="both"/>
        <w:rPr>
          <w:rFonts w:ascii="Times New Roman" w:hAnsi="Times New Roman" w:cs="Times New Roman"/>
          <w:bCs/>
          <w:sz w:val="24"/>
          <w:szCs w:val="24"/>
        </w:rPr>
      </w:pPr>
      <w:r w:rsidRPr="003D0E2B">
        <w:rPr>
          <w:rFonts w:ascii="Times New Roman" w:hAnsi="Times New Roman" w:cs="Times New Roman"/>
          <w:bCs/>
          <w:sz w:val="24"/>
          <w:szCs w:val="24"/>
        </w:rPr>
        <w:t xml:space="preserve">        Eğitimlerin sürelerinin üç gün, bir hafta ve üç hafta süreli oldukları, genel olarak kısa süreli olanların (üç gün) süresinin yetersiz olduğu diğer eğitimlerin süresinin ise yeterli olduğu ancak belli zaman periyotlarında güncellenmiş şekilde tekrar edilmesi istenmiştir.</w:t>
      </w:r>
    </w:p>
    <w:p w:rsidR="00F70383" w:rsidRPr="003D0E2B" w:rsidRDefault="00F70383" w:rsidP="003D0E2B">
      <w:pPr>
        <w:spacing w:line="360" w:lineRule="auto"/>
        <w:jc w:val="both"/>
        <w:rPr>
          <w:rFonts w:ascii="Times New Roman" w:hAnsi="Times New Roman" w:cs="Times New Roman"/>
          <w:bCs/>
          <w:sz w:val="24"/>
          <w:szCs w:val="24"/>
        </w:rPr>
      </w:pPr>
      <w:r w:rsidRPr="003D0E2B">
        <w:rPr>
          <w:rFonts w:ascii="Times New Roman" w:hAnsi="Times New Roman" w:cs="Times New Roman"/>
          <w:bCs/>
          <w:sz w:val="24"/>
          <w:szCs w:val="24"/>
        </w:rPr>
        <w:t xml:space="preserve">      Söz konusu eğitimlerin, kktc polis genel müdürlüğüne bağlı polis okulu müdürlüğü, pgm konferans salonu, narkotik bölüm müdürlüğü binası ,tadoc  ve kom (türkiye-emniyet genel müdürlüğü) da yapıldığını, bunlardan narkotik bölüm müdürlüğünde yapılan eğitimin yerinin eğitim için uygun olmadığı diğer yerlerin ise uygun olduğu belirtilmiştir</w:t>
      </w:r>
    </w:p>
    <w:p w:rsidR="006B29AF" w:rsidRPr="003D0E2B" w:rsidRDefault="00F70383" w:rsidP="003D0E2B">
      <w:pPr>
        <w:spacing w:line="360" w:lineRule="auto"/>
        <w:jc w:val="both"/>
        <w:rPr>
          <w:rFonts w:ascii="Times New Roman" w:hAnsi="Times New Roman" w:cs="Times New Roman"/>
          <w:bCs/>
          <w:sz w:val="24"/>
          <w:szCs w:val="24"/>
        </w:rPr>
      </w:pPr>
      <w:r w:rsidRPr="003D0E2B">
        <w:rPr>
          <w:rFonts w:ascii="Times New Roman" w:hAnsi="Times New Roman" w:cs="Times New Roman"/>
          <w:bCs/>
          <w:sz w:val="24"/>
          <w:szCs w:val="24"/>
        </w:rPr>
        <w:t xml:space="preserve">       Yapılan eğitimlerin planlanmış eğitimler olduğu, verilen eğitimin  verilmek istenen eğitimler  olduğuna dair fikir birliği mevcuttur.</w:t>
      </w:r>
    </w:p>
    <w:p w:rsidR="006B29AF" w:rsidRPr="003D0E2B" w:rsidRDefault="006B29AF" w:rsidP="003D0E2B">
      <w:pPr>
        <w:spacing w:line="360" w:lineRule="auto"/>
        <w:rPr>
          <w:rFonts w:ascii="Times New Roman" w:hAnsi="Times New Roman" w:cs="Times New Roman"/>
          <w:bCs/>
          <w:sz w:val="24"/>
          <w:szCs w:val="24"/>
        </w:rPr>
      </w:pPr>
      <w:r w:rsidRPr="003D0E2B">
        <w:rPr>
          <w:rFonts w:ascii="Times New Roman" w:hAnsi="Times New Roman" w:cs="Times New Roman"/>
          <w:bCs/>
          <w:sz w:val="24"/>
          <w:szCs w:val="24"/>
        </w:rPr>
        <w:t xml:space="preserve">          Yapılan eğitimlerde ele alınan konu başlıkları </w:t>
      </w:r>
      <w:r w:rsidRPr="003D0E2B">
        <w:rPr>
          <w:rFonts w:ascii="Times New Roman" w:hAnsi="Times New Roman" w:cs="Times New Roman"/>
          <w:bCs/>
          <w:sz w:val="24"/>
          <w:szCs w:val="24"/>
        </w:rPr>
        <w:br/>
        <w:t xml:space="preserve">A-Uyuşturucu Maddeleri Tanıma </w:t>
      </w:r>
      <w:r w:rsidRPr="003D0E2B">
        <w:rPr>
          <w:rFonts w:ascii="Times New Roman" w:hAnsi="Times New Roman" w:cs="Times New Roman"/>
          <w:bCs/>
          <w:sz w:val="24"/>
          <w:szCs w:val="24"/>
        </w:rPr>
        <w:br/>
        <w:t xml:space="preserve">B-Uyuşturucu Maddelerin Zulalanması(Saklanması) C-C-Takip (Fiziki Veya Araçlı) </w:t>
      </w:r>
      <w:r w:rsidRPr="003D0E2B">
        <w:rPr>
          <w:rFonts w:ascii="Times New Roman" w:hAnsi="Times New Roman" w:cs="Times New Roman"/>
          <w:bCs/>
          <w:sz w:val="24"/>
          <w:szCs w:val="24"/>
        </w:rPr>
        <w:br/>
        <w:t>D-Uyuşturcu Madde Bulunduğu Zaman Yapılması Gerekenler</w:t>
      </w:r>
      <w:r w:rsidRPr="003D0E2B">
        <w:rPr>
          <w:rFonts w:ascii="Times New Roman" w:hAnsi="Times New Roman" w:cs="Times New Roman"/>
          <w:bCs/>
          <w:sz w:val="24"/>
          <w:szCs w:val="24"/>
        </w:rPr>
        <w:br/>
        <w:t>E-Uyuşturucu İle Mücadele Ve Bu Alanda Çalışan  Polisin Alan Bilgisi</w:t>
      </w:r>
      <w:r w:rsidRPr="003D0E2B">
        <w:rPr>
          <w:rFonts w:ascii="Times New Roman" w:hAnsi="Times New Roman" w:cs="Times New Roman"/>
          <w:bCs/>
          <w:sz w:val="24"/>
          <w:szCs w:val="24"/>
        </w:rPr>
        <w:br/>
        <w:t>F-Uyuşturucu Maddelerle İlgili Suçlarda Soruşturma Yöntemleri</w:t>
      </w:r>
    </w:p>
    <w:p w:rsidR="006B29AF" w:rsidRPr="003D0E2B" w:rsidRDefault="006B29AF" w:rsidP="003D0E2B">
      <w:pPr>
        <w:spacing w:line="360" w:lineRule="auto"/>
        <w:rPr>
          <w:rFonts w:ascii="Times New Roman" w:hAnsi="Times New Roman" w:cs="Times New Roman"/>
          <w:bCs/>
          <w:sz w:val="24"/>
          <w:szCs w:val="24"/>
        </w:rPr>
      </w:pPr>
      <w:r w:rsidRPr="003D0E2B">
        <w:rPr>
          <w:rFonts w:ascii="Times New Roman" w:hAnsi="Times New Roman" w:cs="Times New Roman"/>
          <w:bCs/>
          <w:sz w:val="24"/>
          <w:szCs w:val="24"/>
        </w:rPr>
        <w:t xml:space="preserve">       </w:t>
      </w:r>
      <w:r w:rsidR="00013468" w:rsidRPr="003D0E2B">
        <w:rPr>
          <w:rFonts w:ascii="Times New Roman" w:hAnsi="Times New Roman" w:cs="Times New Roman"/>
          <w:bCs/>
          <w:sz w:val="24"/>
          <w:szCs w:val="24"/>
        </w:rPr>
        <w:t xml:space="preserve"> </w:t>
      </w:r>
      <w:r w:rsidRPr="003D0E2B">
        <w:rPr>
          <w:rFonts w:ascii="Times New Roman" w:hAnsi="Times New Roman" w:cs="Times New Roman"/>
          <w:bCs/>
          <w:sz w:val="24"/>
          <w:szCs w:val="24"/>
        </w:rPr>
        <w:t xml:space="preserve"> Yapılan eğitimlerin teorik-pratik  olduğu    teorik eğitime ayrılan  zamanın yeterli olduğu ancak  pratik eğitime ayrılan  zamanın yetersiz olduğu sonucu ortaya çıkmıştır.</w:t>
      </w:r>
    </w:p>
    <w:p w:rsidR="00013468" w:rsidRPr="003D0E2B" w:rsidRDefault="00013468" w:rsidP="003D0E2B">
      <w:pPr>
        <w:spacing w:line="360" w:lineRule="auto"/>
        <w:jc w:val="both"/>
        <w:rPr>
          <w:rFonts w:ascii="Times New Roman" w:hAnsi="Times New Roman" w:cs="Times New Roman"/>
          <w:bCs/>
          <w:sz w:val="24"/>
          <w:szCs w:val="24"/>
        </w:rPr>
      </w:pPr>
      <w:r w:rsidRPr="003D0E2B">
        <w:rPr>
          <w:rFonts w:ascii="Times New Roman" w:hAnsi="Times New Roman" w:cs="Times New Roman"/>
          <w:bCs/>
          <w:sz w:val="24"/>
          <w:szCs w:val="24"/>
        </w:rPr>
        <w:lastRenderedPageBreak/>
        <w:t xml:space="preserve">        Yapılan eğitimlerde uyuşturucu maddelerle ilgili  görsel, işitsel yada görsel-işitsel araç ve materyallerden gereği gibi yararlanılmıştır. </w:t>
      </w:r>
    </w:p>
    <w:p w:rsidR="00F70383" w:rsidRPr="003D0E2B" w:rsidRDefault="00013468" w:rsidP="003D0E2B">
      <w:pPr>
        <w:spacing w:line="360" w:lineRule="auto"/>
        <w:jc w:val="both"/>
        <w:rPr>
          <w:rFonts w:ascii="Times New Roman" w:hAnsi="Times New Roman" w:cs="Times New Roman"/>
          <w:sz w:val="24"/>
          <w:szCs w:val="24"/>
        </w:rPr>
      </w:pPr>
      <w:r w:rsidRPr="003D0E2B">
        <w:rPr>
          <w:rFonts w:ascii="Times New Roman" w:hAnsi="Times New Roman" w:cs="Times New Roman"/>
          <w:bCs/>
          <w:sz w:val="24"/>
          <w:szCs w:val="24"/>
        </w:rPr>
        <w:t xml:space="preserve">        Yapılan eğitimlerin yeterli/kısmen yeterli olduğu konusunda görüşler ortaya çıkmıştır. Bu eğitimlerin sürekli olarak verilmesi gerektiğide çıkan bir diğer sonuçtur. Bir başka yoğunluklu görüş ise narkotikte çalışan personel dışında, diğer polislerinde bu konularda eğitim alması gerktiği yönündedir.</w:t>
      </w:r>
    </w:p>
    <w:p w:rsidR="00F70383" w:rsidRPr="003D0E2B" w:rsidRDefault="00E53A2F" w:rsidP="003D0E2B">
      <w:pPr>
        <w:tabs>
          <w:tab w:val="left" w:pos="1122"/>
        </w:tabs>
        <w:spacing w:line="360" w:lineRule="auto"/>
        <w:rPr>
          <w:rFonts w:ascii="Times New Roman" w:hAnsi="Times New Roman" w:cs="Times New Roman"/>
          <w:bCs/>
          <w:sz w:val="24"/>
          <w:szCs w:val="24"/>
        </w:rPr>
      </w:pPr>
      <w:r w:rsidRPr="003D0E2B">
        <w:rPr>
          <w:rFonts w:ascii="Times New Roman" w:hAnsi="Times New Roman" w:cs="Times New Roman"/>
          <w:bCs/>
          <w:sz w:val="24"/>
          <w:szCs w:val="24"/>
        </w:rPr>
        <w:t xml:space="preserve">“Eğitimi Veren Siz Olsaydınız?” Farklı Neler Yapardınız </w:t>
      </w:r>
      <w:r w:rsidRPr="003D0E2B">
        <w:rPr>
          <w:rFonts w:ascii="Times New Roman" w:hAnsi="Times New Roman" w:cs="Times New Roman"/>
          <w:bCs/>
          <w:sz w:val="24"/>
          <w:szCs w:val="24"/>
        </w:rPr>
        <w:br/>
        <w:t>1-Her Sene Belirli Aralıklarla Güncelleme  Eğitimleri Yapmak</w:t>
      </w:r>
      <w:r w:rsidRPr="003D0E2B">
        <w:rPr>
          <w:rFonts w:ascii="Times New Roman" w:hAnsi="Times New Roman" w:cs="Times New Roman"/>
          <w:bCs/>
          <w:sz w:val="24"/>
          <w:szCs w:val="24"/>
        </w:rPr>
        <w:br/>
        <w:t>2-Eğitimlerin Yurt Dışı Eğitimler Olarak Planlanmasını Sağlamak</w:t>
      </w:r>
      <w:r w:rsidRPr="003D0E2B">
        <w:rPr>
          <w:rFonts w:ascii="Times New Roman" w:hAnsi="Times New Roman" w:cs="Times New Roman"/>
          <w:bCs/>
          <w:sz w:val="24"/>
          <w:szCs w:val="24"/>
        </w:rPr>
        <w:br/>
        <w:t>3-Kurs Sürelerini Uzatmak(Özellikle Kısa Süreli Olanlar)</w:t>
      </w:r>
      <w:r w:rsidRPr="003D0E2B">
        <w:rPr>
          <w:rFonts w:ascii="Times New Roman" w:hAnsi="Times New Roman" w:cs="Times New Roman"/>
          <w:bCs/>
          <w:sz w:val="24"/>
          <w:szCs w:val="24"/>
        </w:rPr>
        <w:br/>
        <w:t>4-Personelin Eğitime Konsantre Olmasını Etkileyen Unsurları Ortadan Kaldırmak</w:t>
      </w:r>
      <w:r w:rsidRPr="003D0E2B">
        <w:rPr>
          <w:rFonts w:ascii="Times New Roman" w:hAnsi="Times New Roman" w:cs="Times New Roman"/>
          <w:bCs/>
          <w:sz w:val="24"/>
          <w:szCs w:val="24"/>
        </w:rPr>
        <w:br/>
        <w:t>5-Teorik Bilgiden Daha Çok Uygulamaya Ağırlık Vermek</w:t>
      </w:r>
      <w:r w:rsidRPr="003D0E2B">
        <w:rPr>
          <w:rFonts w:ascii="Times New Roman" w:hAnsi="Times New Roman" w:cs="Times New Roman"/>
          <w:bCs/>
          <w:sz w:val="24"/>
          <w:szCs w:val="24"/>
        </w:rPr>
        <w:br/>
        <w:t>6-Kurs İçeriğinde Değişiklik Yapmak</w:t>
      </w:r>
      <w:r w:rsidRPr="003D0E2B">
        <w:rPr>
          <w:rFonts w:ascii="Times New Roman" w:hAnsi="Times New Roman" w:cs="Times New Roman"/>
          <w:bCs/>
          <w:sz w:val="24"/>
          <w:szCs w:val="24"/>
        </w:rPr>
        <w:br/>
        <w:t>7-Her Haliyle Eğitimin Fayda Getirdiği Ve Bu Halinden Bile Memnun Olmak Gerektiği</w:t>
      </w:r>
    </w:p>
    <w:p w:rsidR="00E53A2F" w:rsidRPr="003D0E2B" w:rsidRDefault="00E53A2F" w:rsidP="003D0E2B">
      <w:pPr>
        <w:tabs>
          <w:tab w:val="left" w:pos="1122"/>
        </w:tabs>
        <w:spacing w:line="360" w:lineRule="auto"/>
        <w:rPr>
          <w:rFonts w:ascii="Times New Roman" w:hAnsi="Times New Roman" w:cs="Times New Roman"/>
          <w:b/>
          <w:bCs/>
          <w:sz w:val="24"/>
          <w:szCs w:val="24"/>
        </w:rPr>
      </w:pPr>
      <w:r w:rsidRPr="003D0E2B">
        <w:rPr>
          <w:rFonts w:ascii="Times New Roman" w:hAnsi="Times New Roman" w:cs="Times New Roman"/>
          <w:b/>
          <w:bCs/>
          <w:sz w:val="24"/>
          <w:szCs w:val="24"/>
        </w:rPr>
        <w:t>Öneriler</w:t>
      </w:r>
    </w:p>
    <w:p w:rsidR="00E53A2F" w:rsidRPr="003D0E2B" w:rsidRDefault="00E53A2F" w:rsidP="003D0E2B">
      <w:pPr>
        <w:tabs>
          <w:tab w:val="left" w:pos="1122"/>
        </w:tabs>
        <w:spacing w:line="360" w:lineRule="auto"/>
        <w:jc w:val="both"/>
        <w:rPr>
          <w:rFonts w:ascii="Times New Roman" w:hAnsi="Times New Roman" w:cs="Times New Roman"/>
          <w:bCs/>
          <w:sz w:val="24"/>
          <w:szCs w:val="24"/>
        </w:rPr>
      </w:pPr>
      <w:r w:rsidRPr="003D0E2B">
        <w:rPr>
          <w:rFonts w:ascii="Times New Roman" w:hAnsi="Times New Roman" w:cs="Times New Roman"/>
          <w:bCs/>
          <w:sz w:val="24"/>
          <w:szCs w:val="24"/>
        </w:rPr>
        <w:t xml:space="preserve">     Katılımcıların Hepsi Eğitimleri Veren Kişilerin Yeterli Olmalarına Rağmen Eğitim Sürelerinin Kısa Olduğunu Söylemişlerdir. Bu Nedenle Yapılacak Eğitimlerin En Az Bir Haftalık Veya Daha Fazla Süreli Eğitimler Olması Gerekmektedir.</w:t>
      </w:r>
    </w:p>
    <w:p w:rsidR="00E53A2F" w:rsidRPr="003D0E2B" w:rsidRDefault="00E53A2F" w:rsidP="003D0E2B">
      <w:pPr>
        <w:tabs>
          <w:tab w:val="left" w:pos="1122"/>
        </w:tabs>
        <w:spacing w:line="360" w:lineRule="auto"/>
        <w:jc w:val="both"/>
        <w:rPr>
          <w:rFonts w:ascii="Times New Roman" w:hAnsi="Times New Roman" w:cs="Times New Roman"/>
          <w:bCs/>
          <w:sz w:val="24"/>
          <w:szCs w:val="24"/>
        </w:rPr>
      </w:pPr>
      <w:r w:rsidRPr="003D0E2B">
        <w:rPr>
          <w:rFonts w:ascii="Times New Roman" w:hAnsi="Times New Roman" w:cs="Times New Roman"/>
          <w:bCs/>
          <w:sz w:val="24"/>
          <w:szCs w:val="24"/>
        </w:rPr>
        <w:t xml:space="preserve">      Teorik Bazlı Eğitimlerin  Dahada Azaltılması  Uygulamalı Eğitime Ağırlık Verilmesi Ve Bu Eğitimlerin Sık Aralıklarla Yapılması, Eğitim Esnasında Tamamen Eğitime Odaklanılması Eğitim Haricinde Başka Bir İşle Uğraşılmaması Gerekmektedir.</w:t>
      </w:r>
    </w:p>
    <w:p w:rsidR="002131B2" w:rsidRPr="003D0E2B" w:rsidRDefault="00E53A2F" w:rsidP="003D0E2B">
      <w:pPr>
        <w:tabs>
          <w:tab w:val="left" w:pos="1122"/>
        </w:tabs>
        <w:spacing w:line="360" w:lineRule="auto"/>
        <w:jc w:val="both"/>
        <w:rPr>
          <w:rFonts w:ascii="Times New Roman" w:hAnsi="Times New Roman" w:cs="Times New Roman"/>
          <w:bCs/>
          <w:sz w:val="24"/>
          <w:szCs w:val="24"/>
        </w:rPr>
      </w:pPr>
      <w:r w:rsidRPr="003D0E2B">
        <w:rPr>
          <w:rFonts w:ascii="Times New Roman" w:hAnsi="Times New Roman" w:cs="Times New Roman"/>
          <w:bCs/>
          <w:sz w:val="24"/>
          <w:szCs w:val="24"/>
        </w:rPr>
        <w:t xml:space="preserve">     Narkotik Ve Uyuşturucu Maddelerle İlgili Verilen Eğitimlerin  Sadece Narkotik Polisine Değil Diğer Birimlerde Çalışan Personelede Verilmesi Soruşturma Açısından  Yararlı Olacaktır</w:t>
      </w:r>
    </w:p>
    <w:p w:rsidR="003D0E2B" w:rsidRDefault="003D0E2B">
      <w:pPr>
        <w:rPr>
          <w:rFonts w:ascii="Times New Roman" w:hAnsi="Times New Roman" w:cs="Times New Roman"/>
          <w:sz w:val="24"/>
          <w:szCs w:val="24"/>
        </w:rPr>
      </w:pPr>
      <w:r>
        <w:rPr>
          <w:rFonts w:ascii="Times New Roman" w:hAnsi="Times New Roman" w:cs="Times New Roman"/>
          <w:sz w:val="24"/>
          <w:szCs w:val="24"/>
        </w:rPr>
        <w:br w:type="page"/>
      </w:r>
    </w:p>
    <w:p w:rsidR="00E53A2F" w:rsidRPr="003D0E2B" w:rsidRDefault="002131B2" w:rsidP="003D0E2B">
      <w:pPr>
        <w:tabs>
          <w:tab w:val="left" w:pos="1122"/>
        </w:tabs>
        <w:spacing w:line="360" w:lineRule="auto"/>
        <w:jc w:val="both"/>
        <w:rPr>
          <w:rFonts w:ascii="Times New Roman" w:hAnsi="Times New Roman" w:cs="Times New Roman"/>
          <w:sz w:val="24"/>
          <w:szCs w:val="24"/>
        </w:rPr>
      </w:pPr>
      <w:r w:rsidRPr="003D0E2B">
        <w:rPr>
          <w:rFonts w:ascii="Times New Roman" w:hAnsi="Times New Roman" w:cs="Times New Roman"/>
          <w:sz w:val="24"/>
          <w:szCs w:val="24"/>
        </w:rPr>
        <w:lastRenderedPageBreak/>
        <w:t>KAYNAKÇA</w:t>
      </w:r>
    </w:p>
    <w:p w:rsidR="00191943" w:rsidRPr="003D0E2B" w:rsidRDefault="00191943" w:rsidP="003D0E2B">
      <w:pPr>
        <w:pStyle w:val="Heading2"/>
        <w:numPr>
          <w:ilvl w:val="0"/>
          <w:numId w:val="1"/>
        </w:numPr>
        <w:shd w:val="clear" w:color="auto" w:fill="FFFFFF"/>
        <w:spacing w:line="360" w:lineRule="auto"/>
        <w:rPr>
          <w:b w:val="0"/>
          <w:color w:val="000000"/>
          <w:sz w:val="24"/>
          <w:szCs w:val="24"/>
        </w:rPr>
      </w:pPr>
      <w:r w:rsidRPr="003D0E2B">
        <w:rPr>
          <w:b w:val="0"/>
          <w:bCs w:val="0"/>
          <w:color w:val="333333"/>
          <w:sz w:val="24"/>
          <w:szCs w:val="24"/>
        </w:rPr>
        <w:t>Geiss, G. (1969) Addicts in the Classroom: The Impact of an Experimental Narcotics Education Program on Junior High School Pupils.</w:t>
      </w:r>
      <w:r w:rsidRPr="003D0E2B">
        <w:rPr>
          <w:b w:val="0"/>
          <w:sz w:val="24"/>
          <w:szCs w:val="24"/>
        </w:rPr>
        <w:t xml:space="preserve">‹pdf›  Available at: </w:t>
      </w:r>
    </w:p>
    <w:p w:rsidR="00191943" w:rsidRPr="003D0E2B" w:rsidRDefault="00191943" w:rsidP="003D0E2B">
      <w:pPr>
        <w:pStyle w:val="Heading2"/>
        <w:numPr>
          <w:ilvl w:val="0"/>
          <w:numId w:val="1"/>
        </w:numPr>
        <w:shd w:val="clear" w:color="auto" w:fill="FFFFFF"/>
        <w:spacing w:line="360" w:lineRule="auto"/>
        <w:rPr>
          <w:b w:val="0"/>
          <w:color w:val="000000"/>
          <w:sz w:val="24"/>
          <w:szCs w:val="24"/>
        </w:rPr>
      </w:pPr>
      <w:r w:rsidRPr="003D0E2B">
        <w:rPr>
          <w:b w:val="0"/>
          <w:sz w:val="24"/>
          <w:szCs w:val="24"/>
        </w:rPr>
        <w:t xml:space="preserve">Hayeslip, D.W. (1989) Local-level Drug Enforcement ‹pdf› Available at: </w:t>
      </w:r>
    </w:p>
    <w:p w:rsidR="00191943" w:rsidRPr="003D0E2B" w:rsidRDefault="00191943" w:rsidP="003D0E2B">
      <w:pPr>
        <w:pStyle w:val="Heading2"/>
        <w:numPr>
          <w:ilvl w:val="0"/>
          <w:numId w:val="1"/>
        </w:numPr>
        <w:shd w:val="clear" w:color="auto" w:fill="FFFFFF"/>
        <w:spacing w:line="360" w:lineRule="auto"/>
        <w:rPr>
          <w:b w:val="0"/>
          <w:color w:val="000000"/>
          <w:sz w:val="24"/>
          <w:szCs w:val="24"/>
        </w:rPr>
      </w:pPr>
      <w:r w:rsidRPr="003D0E2B">
        <w:rPr>
          <w:b w:val="0"/>
          <w:color w:val="000000"/>
          <w:sz w:val="24"/>
          <w:szCs w:val="24"/>
        </w:rPr>
        <w:t>KKTC. PGM Yıllık Eğtim Faliyet Raporları</w:t>
      </w:r>
    </w:p>
    <w:p w:rsidR="00191943" w:rsidRPr="003D0E2B" w:rsidRDefault="00191943" w:rsidP="003D0E2B">
      <w:pPr>
        <w:pStyle w:val="Heading2"/>
        <w:numPr>
          <w:ilvl w:val="0"/>
          <w:numId w:val="1"/>
        </w:numPr>
        <w:shd w:val="clear" w:color="auto" w:fill="FFFFFF"/>
        <w:spacing w:line="360" w:lineRule="auto"/>
        <w:rPr>
          <w:b w:val="0"/>
          <w:color w:val="000000"/>
          <w:sz w:val="24"/>
          <w:szCs w:val="24"/>
        </w:rPr>
      </w:pPr>
      <w:r w:rsidRPr="003D0E2B">
        <w:rPr>
          <w:b w:val="0"/>
          <w:sz w:val="24"/>
          <w:szCs w:val="24"/>
        </w:rPr>
        <w:t xml:space="preserve">Moore, M.H. and Kleiman, M.A.R. (1989) The Police and Drugs ‹pdf› Available at: </w:t>
      </w:r>
    </w:p>
    <w:p w:rsidR="00191943" w:rsidRPr="003D0E2B" w:rsidRDefault="00191943" w:rsidP="003D0E2B">
      <w:pPr>
        <w:pStyle w:val="ListParagraph"/>
        <w:numPr>
          <w:ilvl w:val="0"/>
          <w:numId w:val="1"/>
        </w:numPr>
        <w:shd w:val="clear" w:color="auto" w:fill="FFFFFF"/>
        <w:spacing w:line="360" w:lineRule="auto"/>
        <w:rPr>
          <w:rFonts w:ascii="Times New Roman" w:hAnsi="Times New Roman" w:cs="Times New Roman"/>
          <w:color w:val="000000"/>
          <w:sz w:val="24"/>
          <w:szCs w:val="24"/>
          <w:shd w:val="clear" w:color="auto" w:fill="FFFFFF"/>
        </w:rPr>
      </w:pPr>
      <w:r w:rsidRPr="003D0E2B">
        <w:rPr>
          <w:rFonts w:ascii="Times New Roman" w:hAnsi="Times New Roman" w:cs="Times New Roman"/>
          <w:sz w:val="24"/>
          <w:szCs w:val="24"/>
        </w:rPr>
        <w:t xml:space="preserve">Pagane, J., Chanmugam, A., Kirsch, T., and Kelenf, G. D. (1996) New York City Police Officers incidence of transcutaneous exposures ‹pdf› Available at: </w:t>
      </w:r>
    </w:p>
    <w:p w:rsidR="00191943" w:rsidRPr="003D0E2B" w:rsidRDefault="00191943" w:rsidP="003D0E2B">
      <w:pPr>
        <w:pStyle w:val="Heading2"/>
        <w:numPr>
          <w:ilvl w:val="0"/>
          <w:numId w:val="1"/>
        </w:numPr>
        <w:shd w:val="clear" w:color="auto" w:fill="FFFFFF"/>
        <w:spacing w:line="360" w:lineRule="auto"/>
        <w:rPr>
          <w:b w:val="0"/>
          <w:color w:val="000000"/>
          <w:sz w:val="24"/>
          <w:szCs w:val="24"/>
        </w:rPr>
      </w:pPr>
      <w:r w:rsidRPr="003D0E2B">
        <w:rPr>
          <w:b w:val="0"/>
          <w:color w:val="000000"/>
          <w:sz w:val="24"/>
          <w:szCs w:val="24"/>
          <w:shd w:val="clear" w:color="auto" w:fill="FFFFFF"/>
        </w:rPr>
        <w:t xml:space="preserve">Pagon,M.,  Virjent-Novak, B., Djuric, Lobnikar, B. (1996) College of Police and Security Studies </w:t>
      </w:r>
      <w:r w:rsidRPr="003D0E2B">
        <w:rPr>
          <w:b w:val="0"/>
          <w:color w:val="000000"/>
          <w:sz w:val="24"/>
          <w:szCs w:val="24"/>
        </w:rPr>
        <w:t xml:space="preserve">European Systems of Police Education and Training </w:t>
      </w:r>
      <w:r w:rsidRPr="003D0E2B">
        <w:rPr>
          <w:b w:val="0"/>
          <w:sz w:val="24"/>
          <w:szCs w:val="24"/>
        </w:rPr>
        <w:t xml:space="preserve"> ‹html›  Available at: </w:t>
      </w:r>
    </w:p>
    <w:p w:rsidR="00191943" w:rsidRPr="003D0E2B" w:rsidRDefault="00191943" w:rsidP="003D0E2B">
      <w:pPr>
        <w:pStyle w:val="ListParagraph"/>
        <w:numPr>
          <w:ilvl w:val="0"/>
          <w:numId w:val="1"/>
        </w:numPr>
        <w:tabs>
          <w:tab w:val="left" w:pos="1122"/>
        </w:tabs>
        <w:spacing w:line="360" w:lineRule="auto"/>
        <w:jc w:val="both"/>
        <w:rPr>
          <w:rFonts w:ascii="Times New Roman" w:hAnsi="Times New Roman" w:cs="Times New Roman"/>
          <w:sz w:val="24"/>
          <w:szCs w:val="24"/>
        </w:rPr>
      </w:pPr>
      <w:r w:rsidRPr="003D0E2B">
        <w:rPr>
          <w:rFonts w:ascii="Times New Roman" w:hAnsi="Times New Roman" w:cs="Times New Roman"/>
          <w:sz w:val="24"/>
          <w:szCs w:val="24"/>
        </w:rPr>
        <w:t>United Nations Office on Drugs and Crime Vienna</w:t>
      </w:r>
      <w:r w:rsidRPr="003D0E2B">
        <w:rPr>
          <w:rFonts w:ascii="Times New Roman" w:hAnsi="Times New Roman" w:cs="Times New Roman"/>
          <w:color w:val="333333"/>
          <w:sz w:val="24"/>
          <w:szCs w:val="24"/>
        </w:rPr>
        <w:t xml:space="preserve">. (2004) </w:t>
      </w:r>
      <w:r w:rsidRPr="003D0E2B">
        <w:rPr>
          <w:rFonts w:ascii="Times New Roman" w:hAnsi="Times New Roman" w:cs="Times New Roman"/>
          <w:sz w:val="24"/>
          <w:szCs w:val="24"/>
        </w:rPr>
        <w:t xml:space="preserve">‹pdf›  Available at: </w:t>
      </w:r>
    </w:p>
    <w:p w:rsidR="00191943" w:rsidRPr="003D0E2B" w:rsidRDefault="00191943" w:rsidP="003D0E2B">
      <w:pPr>
        <w:pStyle w:val="ListParagraph"/>
        <w:tabs>
          <w:tab w:val="left" w:pos="1122"/>
        </w:tabs>
        <w:spacing w:line="360" w:lineRule="auto"/>
        <w:jc w:val="both"/>
        <w:rPr>
          <w:rFonts w:ascii="Times New Roman" w:hAnsi="Times New Roman" w:cs="Times New Roman"/>
          <w:sz w:val="24"/>
          <w:szCs w:val="24"/>
        </w:rPr>
      </w:pPr>
    </w:p>
    <w:sectPr w:rsidR="00191943" w:rsidRPr="003D0E2B" w:rsidSect="003D0E2B">
      <w:footerReference w:type="default" r:id="rId14"/>
      <w:pgSz w:w="12240" w:h="15840"/>
      <w:pgMar w:top="993"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09A6" w:rsidRDefault="00F509A6" w:rsidP="00F70383">
      <w:pPr>
        <w:spacing w:after="0" w:line="240" w:lineRule="auto"/>
      </w:pPr>
      <w:r>
        <w:separator/>
      </w:r>
    </w:p>
  </w:endnote>
  <w:endnote w:type="continuationSeparator" w:id="1">
    <w:p w:rsidR="00F509A6" w:rsidRDefault="00F509A6" w:rsidP="00F70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Calibri">
    <w:panose1 w:val="020F0502020204030204"/>
    <w:charset w:val="A2"/>
    <w:family w:val="swiss"/>
    <w:pitch w:val="variable"/>
    <w:sig w:usb0="A00002EF" w:usb1="4000207B" w:usb2="00000000" w:usb3="00000000" w:csb0="0000009F" w:csb1="00000000"/>
  </w:font>
  <w:font w:name="Tahoma">
    <w:panose1 w:val="020B0604030504040204"/>
    <w:charset w:val="A2"/>
    <w:family w:val="swiss"/>
    <w:pitch w:val="variable"/>
    <w:sig w:usb0="61002A87" w:usb1="80000000" w:usb2="00000008" w:usb3="00000000" w:csb0="0001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7766"/>
      <w:docPartObj>
        <w:docPartGallery w:val="Page Numbers (Bottom of Page)"/>
        <w:docPartUnique/>
      </w:docPartObj>
    </w:sdtPr>
    <w:sdtContent>
      <w:p w:rsidR="00F70383" w:rsidRDefault="00F70383">
        <w:pPr>
          <w:pStyle w:val="Footer"/>
          <w:jc w:val="center"/>
        </w:pPr>
        <w:fldSimple w:instr=" PAGE   \* MERGEFORMAT ">
          <w:r w:rsidR="00093424">
            <w:rPr>
              <w:noProof/>
            </w:rPr>
            <w:t>2</w:t>
          </w:r>
        </w:fldSimple>
      </w:p>
    </w:sdtContent>
  </w:sdt>
  <w:p w:rsidR="00F70383" w:rsidRDefault="00F7038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09A6" w:rsidRDefault="00F509A6" w:rsidP="00F70383">
      <w:pPr>
        <w:spacing w:after="0" w:line="240" w:lineRule="auto"/>
      </w:pPr>
      <w:r>
        <w:separator/>
      </w:r>
    </w:p>
  </w:footnote>
  <w:footnote w:type="continuationSeparator" w:id="1">
    <w:p w:rsidR="00F509A6" w:rsidRDefault="00F509A6" w:rsidP="00F703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17E45"/>
    <w:multiLevelType w:val="hybridMultilevel"/>
    <w:tmpl w:val="32B6F3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hyphenationZone w:val="425"/>
  <w:characterSpacingControl w:val="doNotCompress"/>
  <w:footnotePr>
    <w:footnote w:id="0"/>
    <w:footnote w:id="1"/>
  </w:footnotePr>
  <w:endnotePr>
    <w:endnote w:id="0"/>
    <w:endnote w:id="1"/>
  </w:endnotePr>
  <w:compat/>
  <w:rsids>
    <w:rsidRoot w:val="00381D6D"/>
    <w:rsid w:val="00013468"/>
    <w:rsid w:val="00093424"/>
    <w:rsid w:val="00191943"/>
    <w:rsid w:val="002131B2"/>
    <w:rsid w:val="00381D6D"/>
    <w:rsid w:val="00396990"/>
    <w:rsid w:val="003D0E2B"/>
    <w:rsid w:val="005016BC"/>
    <w:rsid w:val="006B29AF"/>
    <w:rsid w:val="00832BED"/>
    <w:rsid w:val="00E53A2F"/>
    <w:rsid w:val="00E726EC"/>
    <w:rsid w:val="00F509A6"/>
    <w:rsid w:val="00F7038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6D"/>
  </w:style>
  <w:style w:type="paragraph" w:styleId="Heading2">
    <w:name w:val="heading 2"/>
    <w:basedOn w:val="Normal"/>
    <w:link w:val="Heading2Char"/>
    <w:uiPriority w:val="9"/>
    <w:qFormat/>
    <w:rsid w:val="00191943"/>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1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1D6D"/>
    <w:rPr>
      <w:rFonts w:ascii="Tahoma" w:hAnsi="Tahoma" w:cs="Tahoma"/>
      <w:sz w:val="16"/>
      <w:szCs w:val="16"/>
    </w:rPr>
  </w:style>
  <w:style w:type="paragraph" w:styleId="Header">
    <w:name w:val="header"/>
    <w:basedOn w:val="Normal"/>
    <w:link w:val="HeaderChar"/>
    <w:uiPriority w:val="99"/>
    <w:semiHidden/>
    <w:unhideWhenUsed/>
    <w:rsid w:val="00F7038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70383"/>
  </w:style>
  <w:style w:type="paragraph" w:styleId="Footer">
    <w:name w:val="footer"/>
    <w:basedOn w:val="Normal"/>
    <w:link w:val="FooterChar"/>
    <w:uiPriority w:val="99"/>
    <w:unhideWhenUsed/>
    <w:rsid w:val="00F70383"/>
    <w:pPr>
      <w:tabs>
        <w:tab w:val="center" w:pos="4536"/>
        <w:tab w:val="right" w:pos="9072"/>
      </w:tabs>
      <w:spacing w:after="0" w:line="240" w:lineRule="auto"/>
    </w:pPr>
  </w:style>
  <w:style w:type="character" w:customStyle="1" w:styleId="FooterChar">
    <w:name w:val="Footer Char"/>
    <w:basedOn w:val="DefaultParagraphFont"/>
    <w:link w:val="Footer"/>
    <w:uiPriority w:val="99"/>
    <w:rsid w:val="00F70383"/>
  </w:style>
  <w:style w:type="character" w:customStyle="1" w:styleId="Heading2Char">
    <w:name w:val="Heading 2 Char"/>
    <w:basedOn w:val="DefaultParagraphFont"/>
    <w:link w:val="Heading2"/>
    <w:uiPriority w:val="9"/>
    <w:rsid w:val="00191943"/>
    <w:rPr>
      <w:rFonts w:ascii="Times New Roman" w:eastAsia="Times New Roman" w:hAnsi="Times New Roman" w:cs="Times New Roman"/>
      <w:b/>
      <w:bCs/>
      <w:sz w:val="36"/>
      <w:szCs w:val="36"/>
      <w:lang w:val="en-GB" w:eastAsia="en-GB"/>
    </w:rPr>
  </w:style>
  <w:style w:type="character" w:styleId="Hyperlink">
    <w:name w:val="Hyperlink"/>
    <w:basedOn w:val="DefaultParagraphFont"/>
    <w:uiPriority w:val="99"/>
    <w:unhideWhenUsed/>
    <w:rsid w:val="00191943"/>
    <w:rPr>
      <w:color w:val="0000FF" w:themeColor="hyperlink"/>
      <w:u w:val="single"/>
    </w:rPr>
  </w:style>
  <w:style w:type="paragraph" w:styleId="ListParagraph">
    <w:name w:val="List Paragraph"/>
    <w:basedOn w:val="Normal"/>
    <w:uiPriority w:val="34"/>
    <w:qFormat/>
    <w:rsid w:val="00191943"/>
    <w:pPr>
      <w:ind w:left="720"/>
      <w:contextualSpacing/>
    </w:pPr>
    <w:rPr>
      <w:lang w:val="en-GB"/>
    </w:rPr>
  </w:style>
</w:styles>
</file>

<file path=word/webSettings.xml><?xml version="1.0" encoding="utf-8"?>
<w:webSettings xmlns:r="http://schemas.openxmlformats.org/officeDocument/2006/relationships" xmlns:w="http://schemas.openxmlformats.org/wordprocessingml/2006/main">
  <w:divs>
    <w:div w:id="1075710798">
      <w:bodyDiv w:val="1"/>
      <w:marLeft w:val="0"/>
      <w:marRight w:val="0"/>
      <w:marTop w:val="0"/>
      <w:marBottom w:val="0"/>
      <w:divBdr>
        <w:top w:val="none" w:sz="0" w:space="0" w:color="auto"/>
        <w:left w:val="none" w:sz="0" w:space="0" w:color="auto"/>
        <w:bottom w:val="none" w:sz="0" w:space="0" w:color="auto"/>
        <w:right w:val="none" w:sz="0" w:space="0" w:color="auto"/>
      </w:divBdr>
    </w:div>
    <w:div w:id="1094008320">
      <w:bodyDiv w:val="1"/>
      <w:marLeft w:val="0"/>
      <w:marRight w:val="0"/>
      <w:marTop w:val="0"/>
      <w:marBottom w:val="0"/>
      <w:divBdr>
        <w:top w:val="none" w:sz="0" w:space="0" w:color="auto"/>
        <w:left w:val="none" w:sz="0" w:space="0" w:color="auto"/>
        <w:bottom w:val="none" w:sz="0" w:space="0" w:color="auto"/>
        <w:right w:val="none" w:sz="0" w:space="0" w:color="auto"/>
      </w:divBdr>
    </w:div>
    <w:div w:id="1536237969">
      <w:bodyDiv w:val="1"/>
      <w:marLeft w:val="0"/>
      <w:marRight w:val="0"/>
      <w:marTop w:val="0"/>
      <w:marBottom w:val="0"/>
      <w:divBdr>
        <w:top w:val="none" w:sz="0" w:space="0" w:color="auto"/>
        <w:left w:val="none" w:sz="0" w:space="0" w:color="auto"/>
        <w:bottom w:val="none" w:sz="0" w:space="0" w:color="auto"/>
        <w:right w:val="none" w:sz="0" w:space="0" w:color="auto"/>
      </w:divBdr>
    </w:div>
    <w:div w:id="1589190443">
      <w:bodyDiv w:val="1"/>
      <w:marLeft w:val="0"/>
      <w:marRight w:val="0"/>
      <w:marTop w:val="0"/>
      <w:marBottom w:val="0"/>
      <w:divBdr>
        <w:top w:val="none" w:sz="0" w:space="0" w:color="auto"/>
        <w:left w:val="none" w:sz="0" w:space="0" w:color="auto"/>
        <w:bottom w:val="none" w:sz="0" w:space="0" w:color="auto"/>
        <w:right w:val="none" w:sz="0" w:space="0" w:color="auto"/>
      </w:divBdr>
    </w:div>
    <w:div w:id="1682852601">
      <w:bodyDiv w:val="1"/>
      <w:marLeft w:val="0"/>
      <w:marRight w:val="0"/>
      <w:marTop w:val="0"/>
      <w:marBottom w:val="0"/>
      <w:divBdr>
        <w:top w:val="none" w:sz="0" w:space="0" w:color="auto"/>
        <w:left w:val="none" w:sz="0" w:space="0" w:color="auto"/>
        <w:bottom w:val="none" w:sz="0" w:space="0" w:color="auto"/>
        <w:right w:val="none" w:sz="0" w:space="0" w:color="auto"/>
      </w:divBdr>
    </w:div>
    <w:div w:id="1880706180">
      <w:bodyDiv w:val="1"/>
      <w:marLeft w:val="0"/>
      <w:marRight w:val="0"/>
      <w:marTop w:val="0"/>
      <w:marBottom w:val="0"/>
      <w:divBdr>
        <w:top w:val="none" w:sz="0" w:space="0" w:color="auto"/>
        <w:left w:val="none" w:sz="0" w:space="0" w:color="auto"/>
        <w:bottom w:val="none" w:sz="0" w:space="0" w:color="auto"/>
        <w:right w:val="none" w:sz="0" w:space="0" w:color="auto"/>
      </w:divBdr>
    </w:div>
    <w:div w:id="1937134956">
      <w:bodyDiv w:val="1"/>
      <w:marLeft w:val="0"/>
      <w:marRight w:val="0"/>
      <w:marTop w:val="0"/>
      <w:marBottom w:val="0"/>
      <w:divBdr>
        <w:top w:val="none" w:sz="0" w:space="0" w:color="auto"/>
        <w:left w:val="none" w:sz="0" w:space="0" w:color="auto"/>
        <w:bottom w:val="none" w:sz="0" w:space="0" w:color="auto"/>
        <w:right w:val="none" w:sz="0" w:space="0" w:color="auto"/>
      </w:divBdr>
    </w:div>
    <w:div w:id="2122796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ER\Desktop\makale\OZCAN_BEY%20(1)11.xlsx"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D:\OZCAN_BE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style val="45"/>
  <c:chart>
    <c:title>
      <c:tx>
        <c:rich>
          <a:bodyPr/>
          <a:lstStyle/>
          <a:p>
            <a:pPr>
              <a:defRPr/>
            </a:pPr>
            <a:r>
              <a:rPr lang="tr-TR" dirty="0" smtClean="0"/>
              <a:t>UYUŞTURUCU</a:t>
            </a:r>
            <a:r>
              <a:rPr lang="tr-TR" baseline="0" dirty="0" smtClean="0"/>
              <a:t> MADDELERLE İLGİLİ EĞİTİMLER</a:t>
            </a:r>
            <a:endParaRPr lang="tr-TR" dirty="0"/>
          </a:p>
        </c:rich>
      </c:tx>
    </c:title>
    <c:plotArea>
      <c:layout/>
      <c:barChart>
        <c:barDir val="col"/>
        <c:grouping val="clustered"/>
        <c:ser>
          <c:idx val="0"/>
          <c:order val="0"/>
          <c:dLbls>
            <c:txPr>
              <a:bodyPr/>
              <a:lstStyle/>
              <a:p>
                <a:pPr>
                  <a:defRPr>
                    <a:solidFill>
                      <a:sysClr val="windowText" lastClr="000000"/>
                    </a:solidFill>
                  </a:defRPr>
                </a:pPr>
                <a:endParaRPr lang="tr-TR"/>
              </a:p>
            </c:txPr>
            <c:dLblPos val="inEnd"/>
            <c:showVal val="1"/>
          </c:dLbls>
          <c:cat>
            <c:strRef>
              <c:f>Sayfa2!$A$1:$A$5</c:f>
              <c:strCache>
                <c:ptCount val="5"/>
                <c:pt idx="0">
                  <c:v>UYUSTURUCU KACAKCILIK VE ORGANIZE SUCLARLA MUCADEL</c:v>
                </c:pt>
                <c:pt idx="1">
                  <c:v>NARKOTİK TEMEL EĞİTİM KURSU                       </c:v>
                </c:pt>
                <c:pt idx="2">
                  <c:v>UYUŞTURUCU SUÇ SORUŞTURMALARI EĞİTİMİ</c:v>
                </c:pt>
                <c:pt idx="3">
                  <c:v>NARKOTİK DEDEKTÖR KÖPEĞİ  KURSU       </c:v>
                </c:pt>
                <c:pt idx="4">
                  <c:v>NARKOTİK DEDEKTÖR İDARECİSİ EĞİTİMİ</c:v>
                </c:pt>
              </c:strCache>
            </c:strRef>
          </c:cat>
          <c:val>
            <c:numRef>
              <c:f>Sayfa2!$B$1:$B$5</c:f>
              <c:numCache>
                <c:formatCode>General</c:formatCode>
                <c:ptCount val="5"/>
                <c:pt idx="0">
                  <c:v>1</c:v>
                </c:pt>
                <c:pt idx="1">
                  <c:v>12</c:v>
                </c:pt>
                <c:pt idx="2">
                  <c:v>8</c:v>
                </c:pt>
                <c:pt idx="3">
                  <c:v>4</c:v>
                </c:pt>
                <c:pt idx="4">
                  <c:v>2</c:v>
                </c:pt>
              </c:numCache>
            </c:numRef>
          </c:val>
        </c:ser>
        <c:gapWidth val="75"/>
        <c:overlap val="40"/>
        <c:axId val="65921024"/>
        <c:axId val="65922944"/>
      </c:barChart>
      <c:catAx>
        <c:axId val="65921024"/>
        <c:scaling>
          <c:orientation val="minMax"/>
        </c:scaling>
        <c:axPos val="b"/>
        <c:majorTickMark val="none"/>
        <c:tickLblPos val="nextTo"/>
        <c:crossAx val="65922944"/>
        <c:crosses val="autoZero"/>
        <c:auto val="1"/>
        <c:lblAlgn val="ctr"/>
        <c:lblOffset val="100"/>
      </c:catAx>
      <c:valAx>
        <c:axId val="65922944"/>
        <c:scaling>
          <c:orientation val="minMax"/>
        </c:scaling>
        <c:axPos val="l"/>
        <c:majorGridlines/>
        <c:numFmt formatCode="General" sourceLinked="1"/>
        <c:majorTickMark val="none"/>
        <c:tickLblPos val="nextTo"/>
        <c:crossAx val="65921024"/>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1.2937445319335106E-2"/>
          <c:y val="4.5602659293207774E-2"/>
          <c:w val="0.95954022402609862"/>
          <c:h val="0.75221702619605901"/>
        </c:manualLayout>
      </c:layout>
      <c:barChart>
        <c:barDir val="col"/>
        <c:grouping val="clustered"/>
        <c:ser>
          <c:idx val="0"/>
          <c:order val="0"/>
          <c:dPt>
            <c:idx val="2"/>
            <c:spPr>
              <a:solidFill>
                <a:srgbClr val="FF0000"/>
              </a:solidFill>
            </c:spPr>
          </c:dPt>
          <c:dPt>
            <c:idx val="3"/>
            <c:spPr>
              <a:solidFill>
                <a:srgbClr val="FF0000"/>
              </a:solidFill>
            </c:spPr>
          </c:dPt>
          <c:cat>
            <c:strRef>
              <c:f>Sheet1!$A$1:$A$5</c:f>
              <c:strCache>
                <c:ptCount val="5"/>
                <c:pt idx="0">
                  <c:v>NARKOTİK TEMEL EĞİTİM KURSU                       </c:v>
                </c:pt>
                <c:pt idx="1">
                  <c:v>UYUSTURUCU KACAKCILIK VE ORGANIZE SUCLARLA MUCADEL</c:v>
                </c:pt>
                <c:pt idx="2">
                  <c:v>UYUŞTURUCU SUÇ SORUŞTURMALARI EĞİTİMİ</c:v>
                </c:pt>
                <c:pt idx="3">
                  <c:v>NARKOTİK DEDEKTÖR KÖPEĞİ VE İDARECİSİ KURSU       </c:v>
                </c:pt>
                <c:pt idx="4">
                  <c:v>NARKOTİK DEDEKTÖR İDARECİSİ EĞİTİMİ</c:v>
                </c:pt>
              </c:strCache>
            </c:strRef>
          </c:cat>
          <c:val>
            <c:numRef>
              <c:f>Sheet1!$B$1:$B$5</c:f>
              <c:numCache>
                <c:formatCode>General</c:formatCode>
                <c:ptCount val="5"/>
                <c:pt idx="0">
                  <c:v>1</c:v>
                </c:pt>
                <c:pt idx="1">
                  <c:v>1</c:v>
                </c:pt>
                <c:pt idx="2">
                  <c:v>2</c:v>
                </c:pt>
                <c:pt idx="3">
                  <c:v>2</c:v>
                </c:pt>
                <c:pt idx="4">
                  <c:v>1</c:v>
                </c:pt>
              </c:numCache>
            </c:numRef>
          </c:val>
        </c:ser>
        <c:axId val="66039168"/>
        <c:axId val="66765952"/>
      </c:barChart>
      <c:catAx>
        <c:axId val="66039168"/>
        <c:scaling>
          <c:orientation val="minMax"/>
        </c:scaling>
        <c:axPos val="b"/>
        <c:tickLblPos val="nextTo"/>
        <c:crossAx val="66765952"/>
        <c:crosses val="autoZero"/>
        <c:auto val="1"/>
        <c:lblAlgn val="ctr"/>
        <c:lblOffset val="100"/>
      </c:catAx>
      <c:valAx>
        <c:axId val="66765952"/>
        <c:scaling>
          <c:orientation val="minMax"/>
        </c:scaling>
        <c:delete val="1"/>
        <c:axPos val="l"/>
        <c:numFmt formatCode="General" sourceLinked="1"/>
        <c:tickLblPos val="nextTo"/>
        <c:crossAx val="66039168"/>
        <c:crosses val="autoZero"/>
        <c:crossBetween val="between"/>
      </c:valAx>
    </c:plotArea>
    <c:plotVisOnly val="1"/>
  </c:chart>
  <c:externalData r:id="rId1"/>
  <c:userShapes r:id="rId2"/>
</c:chartSpace>
</file>

<file path=word/diagrams/colors1.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0C1B497-FCFD-4887-827D-375BA6844ECA}" type="doc">
      <dgm:prSet loTypeId="urn:microsoft.com/office/officeart/2005/8/layout/cycle2" loCatId="cycle" qsTypeId="urn:microsoft.com/office/officeart/2005/8/quickstyle/3d4" qsCatId="3D" csTypeId="urn:microsoft.com/office/officeart/2005/8/colors/colorful1#2" csCatId="colorful" phldr="1"/>
      <dgm:spPr/>
      <dgm:t>
        <a:bodyPr/>
        <a:lstStyle/>
        <a:p>
          <a:endParaRPr lang="tr-TR"/>
        </a:p>
      </dgm:t>
    </dgm:pt>
    <dgm:pt modelId="{29EEE2D1-A64D-4EE4-B483-0E98BF6D86EC}">
      <dgm:prSet phldrT="[Text]" custT="1"/>
      <dgm:spPr/>
      <dgm:t>
        <a:bodyPr/>
        <a:lstStyle/>
        <a:p>
          <a:r>
            <a:rPr lang="tr-TR" sz="1400" b="1" dirty="0" smtClean="0">
              <a:solidFill>
                <a:schemeClr val="tx1">
                  <a:lumMod val="85000"/>
                  <a:lumOff val="15000"/>
                </a:schemeClr>
              </a:solidFill>
              <a:effectLst/>
              <a:latin typeface="Arial" charset="0"/>
            </a:rPr>
            <a:t>ÖZEL HİZMET İÇİ EĞİTİMLER</a:t>
          </a:r>
          <a:endParaRPr lang="tr-TR" sz="1400" b="1" dirty="0">
            <a:solidFill>
              <a:schemeClr val="tx1">
                <a:lumMod val="85000"/>
                <a:lumOff val="15000"/>
              </a:schemeClr>
            </a:solidFill>
            <a:effectLst/>
          </a:endParaRPr>
        </a:p>
      </dgm:t>
    </dgm:pt>
    <dgm:pt modelId="{E9AEA3F6-AD81-4AB5-A98F-878D787902A9}" type="parTrans" cxnId="{25E51D78-05CC-4A8C-9233-3AA72F3E7A31}">
      <dgm:prSet/>
      <dgm:spPr/>
      <dgm:t>
        <a:bodyPr/>
        <a:lstStyle/>
        <a:p>
          <a:endParaRPr lang="tr-TR" b="1">
            <a:solidFill>
              <a:schemeClr val="bg1"/>
            </a:solidFill>
            <a:effectLst/>
          </a:endParaRPr>
        </a:p>
      </dgm:t>
    </dgm:pt>
    <dgm:pt modelId="{CD42F598-10E2-438E-BF44-E79F4672D99C}" type="sibTrans" cxnId="{25E51D78-05CC-4A8C-9233-3AA72F3E7A31}">
      <dgm:prSet/>
      <dgm:spPr/>
      <dgm:t>
        <a:bodyPr/>
        <a:lstStyle/>
        <a:p>
          <a:endParaRPr lang="tr-TR" b="1">
            <a:solidFill>
              <a:schemeClr val="bg1"/>
            </a:solidFill>
            <a:effectLst/>
          </a:endParaRPr>
        </a:p>
      </dgm:t>
    </dgm:pt>
    <dgm:pt modelId="{D1C04ECC-CA7B-44C5-AC0A-4E2A7152D6EF}">
      <dgm:prSet phldrT="[Text]" custT="1"/>
      <dgm:spPr/>
      <dgm:t>
        <a:bodyPr/>
        <a:lstStyle/>
        <a:p>
          <a:r>
            <a:rPr lang="tr-TR" sz="1400" b="1" dirty="0" smtClean="0">
              <a:solidFill>
                <a:schemeClr val="tx1">
                  <a:lumMod val="85000"/>
                  <a:lumOff val="15000"/>
                </a:schemeClr>
              </a:solidFill>
              <a:effectLst/>
              <a:latin typeface="Arial" charset="0"/>
            </a:rPr>
            <a:t>İLERİ HİZMETİÇİ EĞİTİMLER</a:t>
          </a:r>
          <a:endParaRPr lang="tr-TR" sz="1400" b="1" dirty="0">
            <a:solidFill>
              <a:schemeClr val="tx1">
                <a:lumMod val="85000"/>
                <a:lumOff val="15000"/>
              </a:schemeClr>
            </a:solidFill>
            <a:effectLst/>
          </a:endParaRPr>
        </a:p>
      </dgm:t>
    </dgm:pt>
    <dgm:pt modelId="{FF6ABF00-D989-4488-8856-CE8DB9BFAA62}" type="parTrans" cxnId="{BE89E791-5897-465B-BE8B-BCFC6D299140}">
      <dgm:prSet/>
      <dgm:spPr/>
      <dgm:t>
        <a:bodyPr/>
        <a:lstStyle/>
        <a:p>
          <a:endParaRPr lang="tr-TR" b="1">
            <a:solidFill>
              <a:schemeClr val="bg1"/>
            </a:solidFill>
            <a:effectLst/>
          </a:endParaRPr>
        </a:p>
      </dgm:t>
    </dgm:pt>
    <dgm:pt modelId="{5112181E-3996-463D-9389-BB0BEC038340}" type="sibTrans" cxnId="{BE89E791-5897-465B-BE8B-BCFC6D299140}">
      <dgm:prSet/>
      <dgm:spPr/>
      <dgm:t>
        <a:bodyPr/>
        <a:lstStyle/>
        <a:p>
          <a:endParaRPr lang="tr-TR" b="1">
            <a:solidFill>
              <a:schemeClr val="bg1"/>
            </a:solidFill>
            <a:effectLst/>
          </a:endParaRPr>
        </a:p>
      </dgm:t>
    </dgm:pt>
    <dgm:pt modelId="{4566BEDF-F956-4E3B-8743-06EBEA9327F9}">
      <dgm:prSet phldrT="[Text]"/>
      <dgm:spPr/>
      <dgm:t>
        <a:bodyPr/>
        <a:lstStyle/>
        <a:p>
          <a:r>
            <a:rPr lang="tr-TR" b="1" dirty="0" smtClean="0">
              <a:solidFill>
                <a:schemeClr val="bg1"/>
              </a:solidFill>
              <a:effectLst/>
              <a:latin typeface="Arial" charset="0"/>
            </a:rPr>
            <a:t>Bilgisayar ve Teknoloji Eğitimleri</a:t>
          </a:r>
          <a:endParaRPr lang="tr-TR" b="1" dirty="0">
            <a:solidFill>
              <a:schemeClr val="bg1"/>
            </a:solidFill>
            <a:effectLst/>
          </a:endParaRPr>
        </a:p>
      </dgm:t>
    </dgm:pt>
    <dgm:pt modelId="{708635F3-357A-4B2F-BF9B-A7193F8FD2FD}" type="parTrans" cxnId="{DB70D1A6-0A9B-4FE8-8B2D-62A534082374}">
      <dgm:prSet/>
      <dgm:spPr/>
      <dgm:t>
        <a:bodyPr/>
        <a:lstStyle/>
        <a:p>
          <a:endParaRPr lang="tr-TR" b="1">
            <a:solidFill>
              <a:schemeClr val="bg1"/>
            </a:solidFill>
            <a:effectLst/>
          </a:endParaRPr>
        </a:p>
      </dgm:t>
    </dgm:pt>
    <dgm:pt modelId="{D5848697-8648-48DC-8F70-EDC7AAF2A5D6}" type="sibTrans" cxnId="{DB70D1A6-0A9B-4FE8-8B2D-62A534082374}">
      <dgm:prSet/>
      <dgm:spPr/>
      <dgm:t>
        <a:bodyPr/>
        <a:lstStyle/>
        <a:p>
          <a:endParaRPr lang="tr-TR" b="1">
            <a:solidFill>
              <a:schemeClr val="bg1"/>
            </a:solidFill>
            <a:effectLst/>
          </a:endParaRPr>
        </a:p>
      </dgm:t>
    </dgm:pt>
    <dgm:pt modelId="{81782CDF-FEC4-45EE-A2CD-98DC21A3E000}">
      <dgm:prSet phldrT="[Text]"/>
      <dgm:spPr/>
      <dgm:t>
        <a:bodyPr/>
        <a:lstStyle/>
        <a:p>
          <a:r>
            <a:rPr lang="tr-TR" b="1" dirty="0" smtClean="0">
              <a:solidFill>
                <a:schemeClr val="bg1"/>
              </a:solidFill>
              <a:effectLst/>
              <a:latin typeface="Arial" charset="0"/>
            </a:rPr>
            <a:t>Yabancı Dil Eğitimleri</a:t>
          </a:r>
          <a:endParaRPr lang="tr-TR" b="1" dirty="0">
            <a:solidFill>
              <a:schemeClr val="bg1"/>
            </a:solidFill>
            <a:effectLst/>
          </a:endParaRPr>
        </a:p>
      </dgm:t>
    </dgm:pt>
    <dgm:pt modelId="{71DC3DFF-1D3D-41F0-AB2B-BDA93EC4E370}" type="parTrans" cxnId="{81C26376-F55B-494C-B17C-BAA27677463A}">
      <dgm:prSet/>
      <dgm:spPr/>
      <dgm:t>
        <a:bodyPr/>
        <a:lstStyle/>
        <a:p>
          <a:endParaRPr lang="tr-TR" b="1">
            <a:solidFill>
              <a:schemeClr val="bg1"/>
            </a:solidFill>
            <a:effectLst/>
          </a:endParaRPr>
        </a:p>
      </dgm:t>
    </dgm:pt>
    <dgm:pt modelId="{FCDC8A12-6B9B-471E-91F7-03693AE9F0D3}" type="sibTrans" cxnId="{81C26376-F55B-494C-B17C-BAA27677463A}">
      <dgm:prSet/>
      <dgm:spPr/>
      <dgm:t>
        <a:bodyPr/>
        <a:lstStyle/>
        <a:p>
          <a:endParaRPr lang="tr-TR" b="1">
            <a:solidFill>
              <a:schemeClr val="bg1"/>
            </a:solidFill>
            <a:effectLst/>
          </a:endParaRPr>
        </a:p>
      </dgm:t>
    </dgm:pt>
    <dgm:pt modelId="{14972750-A320-431A-B932-F3D050D9ABCD}">
      <dgm:prSet phldrT="[Text]"/>
      <dgm:spPr/>
      <dgm:t>
        <a:bodyPr/>
        <a:lstStyle/>
        <a:p>
          <a:r>
            <a:rPr lang="tr-TR" b="1" dirty="0" smtClean="0">
              <a:solidFill>
                <a:schemeClr val="bg1"/>
              </a:solidFill>
              <a:effectLst/>
              <a:latin typeface="Arial" charset="0"/>
            </a:rPr>
            <a:t>Kişisel Gelişim Eğitimleri</a:t>
          </a:r>
          <a:endParaRPr lang="tr-TR" b="1" dirty="0">
            <a:solidFill>
              <a:schemeClr val="bg1"/>
            </a:solidFill>
            <a:effectLst/>
          </a:endParaRPr>
        </a:p>
      </dgm:t>
    </dgm:pt>
    <dgm:pt modelId="{B39F768D-90AF-44A5-B759-86CACDD1085D}" type="parTrans" cxnId="{EF7E9AFE-1188-46DF-A4AD-F82FC3F6B94C}">
      <dgm:prSet/>
      <dgm:spPr/>
      <dgm:t>
        <a:bodyPr/>
        <a:lstStyle/>
        <a:p>
          <a:endParaRPr lang="tr-TR" b="1">
            <a:solidFill>
              <a:schemeClr val="bg1"/>
            </a:solidFill>
            <a:effectLst/>
          </a:endParaRPr>
        </a:p>
      </dgm:t>
    </dgm:pt>
    <dgm:pt modelId="{04596B6D-8BAE-48E2-BF66-02126E252E64}" type="sibTrans" cxnId="{EF7E9AFE-1188-46DF-A4AD-F82FC3F6B94C}">
      <dgm:prSet/>
      <dgm:spPr/>
      <dgm:t>
        <a:bodyPr/>
        <a:lstStyle/>
        <a:p>
          <a:endParaRPr lang="tr-TR" b="1">
            <a:solidFill>
              <a:schemeClr val="bg1"/>
            </a:solidFill>
            <a:effectLst/>
          </a:endParaRPr>
        </a:p>
      </dgm:t>
    </dgm:pt>
    <dgm:pt modelId="{848DFA77-C8D4-4718-B441-2D5F49C88DAA}">
      <dgm:prSet phldrT="[Text]"/>
      <dgm:spPr/>
      <dgm:t>
        <a:bodyPr/>
        <a:lstStyle/>
        <a:p>
          <a:r>
            <a:rPr lang="tr-TR" b="1" dirty="0" smtClean="0">
              <a:solidFill>
                <a:schemeClr val="bg1"/>
              </a:solidFill>
              <a:effectLst/>
              <a:latin typeface="Arial" charset="0"/>
            </a:rPr>
            <a:t>Görev Başı Eğitimleri </a:t>
          </a:r>
          <a:endParaRPr lang="tr-TR" b="1" dirty="0">
            <a:solidFill>
              <a:schemeClr val="bg1"/>
            </a:solidFill>
            <a:effectLst/>
          </a:endParaRPr>
        </a:p>
      </dgm:t>
    </dgm:pt>
    <dgm:pt modelId="{6CB901E9-E7F9-44A9-97B7-AE33C82695B9}" type="parTrans" cxnId="{69A7C206-891A-497E-A58B-2E9519FA56FC}">
      <dgm:prSet/>
      <dgm:spPr/>
      <dgm:t>
        <a:bodyPr/>
        <a:lstStyle/>
        <a:p>
          <a:endParaRPr lang="tr-TR"/>
        </a:p>
      </dgm:t>
    </dgm:pt>
    <dgm:pt modelId="{F8362BD7-1D42-4D18-88CE-4572C467A763}" type="sibTrans" cxnId="{69A7C206-891A-497E-A58B-2E9519FA56FC}">
      <dgm:prSet/>
      <dgm:spPr/>
      <dgm:t>
        <a:bodyPr/>
        <a:lstStyle/>
        <a:p>
          <a:endParaRPr lang="tr-TR"/>
        </a:p>
      </dgm:t>
    </dgm:pt>
    <dgm:pt modelId="{D780E5F2-BD9D-4759-A9B9-1030439C375A}" type="pres">
      <dgm:prSet presAssocID="{80C1B497-FCFD-4887-827D-375BA6844ECA}" presName="cycle" presStyleCnt="0">
        <dgm:presLayoutVars>
          <dgm:dir/>
          <dgm:resizeHandles val="exact"/>
        </dgm:presLayoutVars>
      </dgm:prSet>
      <dgm:spPr/>
      <dgm:t>
        <a:bodyPr/>
        <a:lstStyle/>
        <a:p>
          <a:endParaRPr lang="tr-TR"/>
        </a:p>
      </dgm:t>
    </dgm:pt>
    <dgm:pt modelId="{83CB6B44-CA72-4CA7-9A1C-5EFD75B5E67B}" type="pres">
      <dgm:prSet presAssocID="{848DFA77-C8D4-4718-B441-2D5F49C88DAA}" presName="node" presStyleLbl="node1" presStyleIdx="0" presStyleCnt="6">
        <dgm:presLayoutVars>
          <dgm:bulletEnabled val="1"/>
        </dgm:presLayoutVars>
      </dgm:prSet>
      <dgm:spPr/>
      <dgm:t>
        <a:bodyPr/>
        <a:lstStyle/>
        <a:p>
          <a:endParaRPr lang="tr-TR"/>
        </a:p>
      </dgm:t>
    </dgm:pt>
    <dgm:pt modelId="{1E799F07-1F51-47DB-884A-D5D2FBC2AB08}" type="pres">
      <dgm:prSet presAssocID="{F8362BD7-1D42-4D18-88CE-4572C467A763}" presName="sibTrans" presStyleLbl="sibTrans2D1" presStyleIdx="0" presStyleCnt="6"/>
      <dgm:spPr/>
      <dgm:t>
        <a:bodyPr/>
        <a:lstStyle/>
        <a:p>
          <a:endParaRPr lang="tr-TR"/>
        </a:p>
      </dgm:t>
    </dgm:pt>
    <dgm:pt modelId="{C43CFBB5-F284-4251-9300-EE7CA3019BE4}" type="pres">
      <dgm:prSet presAssocID="{F8362BD7-1D42-4D18-88CE-4572C467A763}" presName="connectorText" presStyleLbl="sibTrans2D1" presStyleIdx="0" presStyleCnt="6"/>
      <dgm:spPr/>
      <dgm:t>
        <a:bodyPr/>
        <a:lstStyle/>
        <a:p>
          <a:endParaRPr lang="tr-TR"/>
        </a:p>
      </dgm:t>
    </dgm:pt>
    <dgm:pt modelId="{5DC83EC9-0A99-4E92-9E8E-307E6FD4B90E}" type="pres">
      <dgm:prSet presAssocID="{29EEE2D1-A64D-4EE4-B483-0E98BF6D86EC}" presName="node" presStyleLbl="node1" presStyleIdx="1" presStyleCnt="6" custScaleX="225769" custScaleY="164321" custRadScaleRad="174862" custRadScaleInc="10432">
        <dgm:presLayoutVars>
          <dgm:bulletEnabled val="1"/>
        </dgm:presLayoutVars>
      </dgm:prSet>
      <dgm:spPr/>
      <dgm:t>
        <a:bodyPr/>
        <a:lstStyle/>
        <a:p>
          <a:endParaRPr lang="tr-TR"/>
        </a:p>
      </dgm:t>
    </dgm:pt>
    <dgm:pt modelId="{3D0CC506-A85F-4B74-8497-4A18EF26070E}" type="pres">
      <dgm:prSet presAssocID="{CD42F598-10E2-438E-BF44-E79F4672D99C}" presName="sibTrans" presStyleLbl="sibTrans2D1" presStyleIdx="1" presStyleCnt="6"/>
      <dgm:spPr/>
      <dgm:t>
        <a:bodyPr/>
        <a:lstStyle/>
        <a:p>
          <a:endParaRPr lang="tr-TR"/>
        </a:p>
      </dgm:t>
    </dgm:pt>
    <dgm:pt modelId="{8E1808DC-9F14-483C-A640-897896D21EEB}" type="pres">
      <dgm:prSet presAssocID="{CD42F598-10E2-438E-BF44-E79F4672D99C}" presName="connectorText" presStyleLbl="sibTrans2D1" presStyleIdx="1" presStyleCnt="6"/>
      <dgm:spPr/>
      <dgm:t>
        <a:bodyPr/>
        <a:lstStyle/>
        <a:p>
          <a:endParaRPr lang="tr-TR"/>
        </a:p>
      </dgm:t>
    </dgm:pt>
    <dgm:pt modelId="{CCA4D9D6-B539-46E6-9044-98A4EF77B58C}" type="pres">
      <dgm:prSet presAssocID="{D1C04ECC-CA7B-44C5-AC0A-4E2A7152D6EF}" presName="node" presStyleLbl="node1" presStyleIdx="2" presStyleCnt="6" custScaleX="224898" custScaleY="218976" custRadScaleRad="158172" custRadScaleInc="-8540">
        <dgm:presLayoutVars>
          <dgm:bulletEnabled val="1"/>
        </dgm:presLayoutVars>
      </dgm:prSet>
      <dgm:spPr/>
      <dgm:t>
        <a:bodyPr/>
        <a:lstStyle/>
        <a:p>
          <a:endParaRPr lang="tr-TR"/>
        </a:p>
      </dgm:t>
    </dgm:pt>
    <dgm:pt modelId="{FDA8625E-F482-4194-A58F-35BB28703CFD}" type="pres">
      <dgm:prSet presAssocID="{5112181E-3996-463D-9389-BB0BEC038340}" presName="sibTrans" presStyleLbl="sibTrans2D1" presStyleIdx="2" presStyleCnt="6"/>
      <dgm:spPr/>
      <dgm:t>
        <a:bodyPr/>
        <a:lstStyle/>
        <a:p>
          <a:endParaRPr lang="tr-TR"/>
        </a:p>
      </dgm:t>
    </dgm:pt>
    <dgm:pt modelId="{2CBE954B-4D9A-4A92-A0A4-EAE9EA7CF3FC}" type="pres">
      <dgm:prSet presAssocID="{5112181E-3996-463D-9389-BB0BEC038340}" presName="connectorText" presStyleLbl="sibTrans2D1" presStyleIdx="2" presStyleCnt="6"/>
      <dgm:spPr/>
      <dgm:t>
        <a:bodyPr/>
        <a:lstStyle/>
        <a:p>
          <a:endParaRPr lang="tr-TR"/>
        </a:p>
      </dgm:t>
    </dgm:pt>
    <dgm:pt modelId="{3DABD69A-3AF3-492A-9ED7-C55FE85851CD}" type="pres">
      <dgm:prSet presAssocID="{4566BEDF-F956-4E3B-8743-06EBEA9327F9}" presName="node" presStyleLbl="node1" presStyleIdx="3" presStyleCnt="6">
        <dgm:presLayoutVars>
          <dgm:bulletEnabled val="1"/>
        </dgm:presLayoutVars>
      </dgm:prSet>
      <dgm:spPr/>
      <dgm:t>
        <a:bodyPr/>
        <a:lstStyle/>
        <a:p>
          <a:endParaRPr lang="tr-TR"/>
        </a:p>
      </dgm:t>
    </dgm:pt>
    <dgm:pt modelId="{0F790912-B43F-4A94-B750-1ECE182A5606}" type="pres">
      <dgm:prSet presAssocID="{D5848697-8648-48DC-8F70-EDC7AAF2A5D6}" presName="sibTrans" presStyleLbl="sibTrans2D1" presStyleIdx="3" presStyleCnt="6"/>
      <dgm:spPr/>
      <dgm:t>
        <a:bodyPr/>
        <a:lstStyle/>
        <a:p>
          <a:endParaRPr lang="tr-TR"/>
        </a:p>
      </dgm:t>
    </dgm:pt>
    <dgm:pt modelId="{FD7BBE26-F05B-4A08-A3CA-698C1905FDB1}" type="pres">
      <dgm:prSet presAssocID="{D5848697-8648-48DC-8F70-EDC7AAF2A5D6}" presName="connectorText" presStyleLbl="sibTrans2D1" presStyleIdx="3" presStyleCnt="6"/>
      <dgm:spPr/>
      <dgm:t>
        <a:bodyPr/>
        <a:lstStyle/>
        <a:p>
          <a:endParaRPr lang="tr-TR"/>
        </a:p>
      </dgm:t>
    </dgm:pt>
    <dgm:pt modelId="{E544BFD6-DEFC-4341-974B-8318F3E3C5A6}" type="pres">
      <dgm:prSet presAssocID="{81782CDF-FEC4-45EE-A2CD-98DC21A3E000}" presName="node" presStyleLbl="node1" presStyleIdx="4" presStyleCnt="6">
        <dgm:presLayoutVars>
          <dgm:bulletEnabled val="1"/>
        </dgm:presLayoutVars>
      </dgm:prSet>
      <dgm:spPr/>
      <dgm:t>
        <a:bodyPr/>
        <a:lstStyle/>
        <a:p>
          <a:endParaRPr lang="tr-TR"/>
        </a:p>
      </dgm:t>
    </dgm:pt>
    <dgm:pt modelId="{9F181D79-73AB-4BB8-A622-0AA590FA032C}" type="pres">
      <dgm:prSet presAssocID="{FCDC8A12-6B9B-471E-91F7-03693AE9F0D3}" presName="sibTrans" presStyleLbl="sibTrans2D1" presStyleIdx="4" presStyleCnt="6"/>
      <dgm:spPr/>
      <dgm:t>
        <a:bodyPr/>
        <a:lstStyle/>
        <a:p>
          <a:endParaRPr lang="tr-TR"/>
        </a:p>
      </dgm:t>
    </dgm:pt>
    <dgm:pt modelId="{CF648F11-3262-4426-BE23-BD4D3EB57D3B}" type="pres">
      <dgm:prSet presAssocID="{FCDC8A12-6B9B-471E-91F7-03693AE9F0D3}" presName="connectorText" presStyleLbl="sibTrans2D1" presStyleIdx="4" presStyleCnt="6"/>
      <dgm:spPr/>
      <dgm:t>
        <a:bodyPr/>
        <a:lstStyle/>
        <a:p>
          <a:endParaRPr lang="tr-TR"/>
        </a:p>
      </dgm:t>
    </dgm:pt>
    <dgm:pt modelId="{7BCE91D6-BBD9-4A23-AC40-D0D4280219EB}" type="pres">
      <dgm:prSet presAssocID="{14972750-A320-431A-B932-F3D050D9ABCD}" presName="node" presStyleLbl="node1" presStyleIdx="5" presStyleCnt="6">
        <dgm:presLayoutVars>
          <dgm:bulletEnabled val="1"/>
        </dgm:presLayoutVars>
      </dgm:prSet>
      <dgm:spPr/>
      <dgm:t>
        <a:bodyPr/>
        <a:lstStyle/>
        <a:p>
          <a:endParaRPr lang="tr-TR"/>
        </a:p>
      </dgm:t>
    </dgm:pt>
    <dgm:pt modelId="{FF1F0131-A4BF-4902-B67E-DC21FB3F8616}" type="pres">
      <dgm:prSet presAssocID="{04596B6D-8BAE-48E2-BF66-02126E252E64}" presName="sibTrans" presStyleLbl="sibTrans2D1" presStyleIdx="5" presStyleCnt="6"/>
      <dgm:spPr/>
      <dgm:t>
        <a:bodyPr/>
        <a:lstStyle/>
        <a:p>
          <a:endParaRPr lang="tr-TR"/>
        </a:p>
      </dgm:t>
    </dgm:pt>
    <dgm:pt modelId="{1E4CC916-DDB8-4E73-8B22-26D6B68DA873}" type="pres">
      <dgm:prSet presAssocID="{04596B6D-8BAE-48E2-BF66-02126E252E64}" presName="connectorText" presStyleLbl="sibTrans2D1" presStyleIdx="5" presStyleCnt="6"/>
      <dgm:spPr/>
      <dgm:t>
        <a:bodyPr/>
        <a:lstStyle/>
        <a:p>
          <a:endParaRPr lang="tr-TR"/>
        </a:p>
      </dgm:t>
    </dgm:pt>
  </dgm:ptLst>
  <dgm:cxnLst>
    <dgm:cxn modelId="{85C53D99-4944-4893-AE94-8684C49F9B03}" type="presOf" srcId="{04596B6D-8BAE-48E2-BF66-02126E252E64}" destId="{FF1F0131-A4BF-4902-B67E-DC21FB3F8616}" srcOrd="0" destOrd="0" presId="urn:microsoft.com/office/officeart/2005/8/layout/cycle2"/>
    <dgm:cxn modelId="{D351A7B7-9957-431C-B90F-8AFF48E5D40B}" type="presOf" srcId="{D1C04ECC-CA7B-44C5-AC0A-4E2A7152D6EF}" destId="{CCA4D9D6-B539-46E6-9044-98A4EF77B58C}" srcOrd="0" destOrd="0" presId="urn:microsoft.com/office/officeart/2005/8/layout/cycle2"/>
    <dgm:cxn modelId="{FE64B5CB-F306-4199-86D4-6EF7AD051D18}" type="presOf" srcId="{14972750-A320-431A-B932-F3D050D9ABCD}" destId="{7BCE91D6-BBD9-4A23-AC40-D0D4280219EB}" srcOrd="0" destOrd="0" presId="urn:microsoft.com/office/officeart/2005/8/layout/cycle2"/>
    <dgm:cxn modelId="{BE89E791-5897-465B-BE8B-BCFC6D299140}" srcId="{80C1B497-FCFD-4887-827D-375BA6844ECA}" destId="{D1C04ECC-CA7B-44C5-AC0A-4E2A7152D6EF}" srcOrd="2" destOrd="0" parTransId="{FF6ABF00-D989-4488-8856-CE8DB9BFAA62}" sibTransId="{5112181E-3996-463D-9389-BB0BEC038340}"/>
    <dgm:cxn modelId="{9794FA0E-F437-455A-A0C0-7AD69AD97F1D}" type="presOf" srcId="{F8362BD7-1D42-4D18-88CE-4572C467A763}" destId="{C43CFBB5-F284-4251-9300-EE7CA3019BE4}" srcOrd="1" destOrd="0" presId="urn:microsoft.com/office/officeart/2005/8/layout/cycle2"/>
    <dgm:cxn modelId="{19DA8442-3F5B-4939-80FD-F6714E352EC5}" type="presOf" srcId="{5112181E-3996-463D-9389-BB0BEC038340}" destId="{2CBE954B-4D9A-4A92-A0A4-EAE9EA7CF3FC}" srcOrd="1" destOrd="0" presId="urn:microsoft.com/office/officeart/2005/8/layout/cycle2"/>
    <dgm:cxn modelId="{EF7E9AFE-1188-46DF-A4AD-F82FC3F6B94C}" srcId="{80C1B497-FCFD-4887-827D-375BA6844ECA}" destId="{14972750-A320-431A-B932-F3D050D9ABCD}" srcOrd="5" destOrd="0" parTransId="{B39F768D-90AF-44A5-B759-86CACDD1085D}" sibTransId="{04596B6D-8BAE-48E2-BF66-02126E252E64}"/>
    <dgm:cxn modelId="{62C3CA0F-CEA5-4CA3-9288-64EB5F103076}" type="presOf" srcId="{848DFA77-C8D4-4718-B441-2D5F49C88DAA}" destId="{83CB6B44-CA72-4CA7-9A1C-5EFD75B5E67B}" srcOrd="0" destOrd="0" presId="urn:microsoft.com/office/officeart/2005/8/layout/cycle2"/>
    <dgm:cxn modelId="{2F20935C-6E50-439D-93A8-CA04585FB99A}" type="presOf" srcId="{80C1B497-FCFD-4887-827D-375BA6844ECA}" destId="{D780E5F2-BD9D-4759-A9B9-1030439C375A}" srcOrd="0" destOrd="0" presId="urn:microsoft.com/office/officeart/2005/8/layout/cycle2"/>
    <dgm:cxn modelId="{81C26376-F55B-494C-B17C-BAA27677463A}" srcId="{80C1B497-FCFD-4887-827D-375BA6844ECA}" destId="{81782CDF-FEC4-45EE-A2CD-98DC21A3E000}" srcOrd="4" destOrd="0" parTransId="{71DC3DFF-1D3D-41F0-AB2B-BDA93EC4E370}" sibTransId="{FCDC8A12-6B9B-471E-91F7-03693AE9F0D3}"/>
    <dgm:cxn modelId="{8E80646A-ED84-4706-84A5-0F2B26415A5D}" type="presOf" srcId="{29EEE2D1-A64D-4EE4-B483-0E98BF6D86EC}" destId="{5DC83EC9-0A99-4E92-9E8E-307E6FD4B90E}" srcOrd="0" destOrd="0" presId="urn:microsoft.com/office/officeart/2005/8/layout/cycle2"/>
    <dgm:cxn modelId="{DB70D1A6-0A9B-4FE8-8B2D-62A534082374}" srcId="{80C1B497-FCFD-4887-827D-375BA6844ECA}" destId="{4566BEDF-F956-4E3B-8743-06EBEA9327F9}" srcOrd="3" destOrd="0" parTransId="{708635F3-357A-4B2F-BF9B-A7193F8FD2FD}" sibTransId="{D5848697-8648-48DC-8F70-EDC7AAF2A5D6}"/>
    <dgm:cxn modelId="{17CF6A50-CAFE-4569-A60B-AB4C71CB63C2}" type="presOf" srcId="{FCDC8A12-6B9B-471E-91F7-03693AE9F0D3}" destId="{9F181D79-73AB-4BB8-A622-0AA590FA032C}" srcOrd="0" destOrd="0" presId="urn:microsoft.com/office/officeart/2005/8/layout/cycle2"/>
    <dgm:cxn modelId="{74A51E1B-1874-48DC-9991-B6F7160A857A}" type="presOf" srcId="{5112181E-3996-463D-9389-BB0BEC038340}" destId="{FDA8625E-F482-4194-A58F-35BB28703CFD}" srcOrd="0" destOrd="0" presId="urn:microsoft.com/office/officeart/2005/8/layout/cycle2"/>
    <dgm:cxn modelId="{8D865318-36B5-488D-A78D-159D6372E425}" type="presOf" srcId="{FCDC8A12-6B9B-471E-91F7-03693AE9F0D3}" destId="{CF648F11-3262-4426-BE23-BD4D3EB57D3B}" srcOrd="1" destOrd="0" presId="urn:microsoft.com/office/officeart/2005/8/layout/cycle2"/>
    <dgm:cxn modelId="{69A7C206-891A-497E-A58B-2E9519FA56FC}" srcId="{80C1B497-FCFD-4887-827D-375BA6844ECA}" destId="{848DFA77-C8D4-4718-B441-2D5F49C88DAA}" srcOrd="0" destOrd="0" parTransId="{6CB901E9-E7F9-44A9-97B7-AE33C82695B9}" sibTransId="{F8362BD7-1D42-4D18-88CE-4572C467A763}"/>
    <dgm:cxn modelId="{B7945142-874B-4276-B715-F31BD3FAB534}" type="presOf" srcId="{CD42F598-10E2-438E-BF44-E79F4672D99C}" destId="{3D0CC506-A85F-4B74-8497-4A18EF26070E}" srcOrd="0" destOrd="0" presId="urn:microsoft.com/office/officeart/2005/8/layout/cycle2"/>
    <dgm:cxn modelId="{A785966C-36DD-403D-A01E-A2816FED5D92}" type="presOf" srcId="{81782CDF-FEC4-45EE-A2CD-98DC21A3E000}" destId="{E544BFD6-DEFC-4341-974B-8318F3E3C5A6}" srcOrd="0" destOrd="0" presId="urn:microsoft.com/office/officeart/2005/8/layout/cycle2"/>
    <dgm:cxn modelId="{18576BD3-DA3D-4406-ABEE-149ED8243B01}" type="presOf" srcId="{CD42F598-10E2-438E-BF44-E79F4672D99C}" destId="{8E1808DC-9F14-483C-A640-897896D21EEB}" srcOrd="1" destOrd="0" presId="urn:microsoft.com/office/officeart/2005/8/layout/cycle2"/>
    <dgm:cxn modelId="{A09BBD84-BD4B-48DC-A795-0D64A3D49C8A}" type="presOf" srcId="{4566BEDF-F956-4E3B-8743-06EBEA9327F9}" destId="{3DABD69A-3AF3-492A-9ED7-C55FE85851CD}" srcOrd="0" destOrd="0" presId="urn:microsoft.com/office/officeart/2005/8/layout/cycle2"/>
    <dgm:cxn modelId="{481C4943-593B-47D4-9BB6-480B99A708BB}" type="presOf" srcId="{D5848697-8648-48DC-8F70-EDC7AAF2A5D6}" destId="{0F790912-B43F-4A94-B750-1ECE182A5606}" srcOrd="0" destOrd="0" presId="urn:microsoft.com/office/officeart/2005/8/layout/cycle2"/>
    <dgm:cxn modelId="{AE318221-9A4A-449D-A5C4-E08136DF40C5}" type="presOf" srcId="{04596B6D-8BAE-48E2-BF66-02126E252E64}" destId="{1E4CC916-DDB8-4E73-8B22-26D6B68DA873}" srcOrd="1" destOrd="0" presId="urn:microsoft.com/office/officeart/2005/8/layout/cycle2"/>
    <dgm:cxn modelId="{F6BCC90F-79A6-45FC-ADB6-1CB58006CE78}" type="presOf" srcId="{D5848697-8648-48DC-8F70-EDC7AAF2A5D6}" destId="{FD7BBE26-F05B-4A08-A3CA-698C1905FDB1}" srcOrd="1" destOrd="0" presId="urn:microsoft.com/office/officeart/2005/8/layout/cycle2"/>
    <dgm:cxn modelId="{62FB94B5-BCD8-42F3-BE26-447785EED367}" type="presOf" srcId="{F8362BD7-1D42-4D18-88CE-4572C467A763}" destId="{1E799F07-1F51-47DB-884A-D5D2FBC2AB08}" srcOrd="0" destOrd="0" presId="urn:microsoft.com/office/officeart/2005/8/layout/cycle2"/>
    <dgm:cxn modelId="{25E51D78-05CC-4A8C-9233-3AA72F3E7A31}" srcId="{80C1B497-FCFD-4887-827D-375BA6844ECA}" destId="{29EEE2D1-A64D-4EE4-B483-0E98BF6D86EC}" srcOrd="1" destOrd="0" parTransId="{E9AEA3F6-AD81-4AB5-A98F-878D787902A9}" sibTransId="{CD42F598-10E2-438E-BF44-E79F4672D99C}"/>
    <dgm:cxn modelId="{1BF84CDA-4A1D-4574-9346-719EBA1FC64D}" type="presParOf" srcId="{D780E5F2-BD9D-4759-A9B9-1030439C375A}" destId="{83CB6B44-CA72-4CA7-9A1C-5EFD75B5E67B}" srcOrd="0" destOrd="0" presId="urn:microsoft.com/office/officeart/2005/8/layout/cycle2"/>
    <dgm:cxn modelId="{DF461A9D-5362-4E64-BA40-BC4816CDE9D9}" type="presParOf" srcId="{D780E5F2-BD9D-4759-A9B9-1030439C375A}" destId="{1E799F07-1F51-47DB-884A-D5D2FBC2AB08}" srcOrd="1" destOrd="0" presId="urn:microsoft.com/office/officeart/2005/8/layout/cycle2"/>
    <dgm:cxn modelId="{B9B9482E-3C73-4CB7-A13A-EEB36AEE2BC3}" type="presParOf" srcId="{1E799F07-1F51-47DB-884A-D5D2FBC2AB08}" destId="{C43CFBB5-F284-4251-9300-EE7CA3019BE4}" srcOrd="0" destOrd="0" presId="urn:microsoft.com/office/officeart/2005/8/layout/cycle2"/>
    <dgm:cxn modelId="{0D1A5CEB-694F-445B-878D-5118687BEA6C}" type="presParOf" srcId="{D780E5F2-BD9D-4759-A9B9-1030439C375A}" destId="{5DC83EC9-0A99-4E92-9E8E-307E6FD4B90E}" srcOrd="2" destOrd="0" presId="urn:microsoft.com/office/officeart/2005/8/layout/cycle2"/>
    <dgm:cxn modelId="{A236CA23-FEA2-4F6F-8C55-A2E2326244F7}" type="presParOf" srcId="{D780E5F2-BD9D-4759-A9B9-1030439C375A}" destId="{3D0CC506-A85F-4B74-8497-4A18EF26070E}" srcOrd="3" destOrd="0" presId="urn:microsoft.com/office/officeart/2005/8/layout/cycle2"/>
    <dgm:cxn modelId="{F84179E5-A05E-42EF-8CB4-E91A322446D5}" type="presParOf" srcId="{3D0CC506-A85F-4B74-8497-4A18EF26070E}" destId="{8E1808DC-9F14-483C-A640-897896D21EEB}" srcOrd="0" destOrd="0" presId="urn:microsoft.com/office/officeart/2005/8/layout/cycle2"/>
    <dgm:cxn modelId="{92615F13-F1EA-40BF-83D5-671F038B0A6C}" type="presParOf" srcId="{D780E5F2-BD9D-4759-A9B9-1030439C375A}" destId="{CCA4D9D6-B539-46E6-9044-98A4EF77B58C}" srcOrd="4" destOrd="0" presId="urn:microsoft.com/office/officeart/2005/8/layout/cycle2"/>
    <dgm:cxn modelId="{7197A199-F4D6-45CE-9162-CFA724B653C2}" type="presParOf" srcId="{D780E5F2-BD9D-4759-A9B9-1030439C375A}" destId="{FDA8625E-F482-4194-A58F-35BB28703CFD}" srcOrd="5" destOrd="0" presId="urn:microsoft.com/office/officeart/2005/8/layout/cycle2"/>
    <dgm:cxn modelId="{EE0E2505-80FF-4E53-A9DB-49746B88155B}" type="presParOf" srcId="{FDA8625E-F482-4194-A58F-35BB28703CFD}" destId="{2CBE954B-4D9A-4A92-A0A4-EAE9EA7CF3FC}" srcOrd="0" destOrd="0" presId="urn:microsoft.com/office/officeart/2005/8/layout/cycle2"/>
    <dgm:cxn modelId="{B58F513D-3F38-4346-8076-7BC8F4B59A67}" type="presParOf" srcId="{D780E5F2-BD9D-4759-A9B9-1030439C375A}" destId="{3DABD69A-3AF3-492A-9ED7-C55FE85851CD}" srcOrd="6" destOrd="0" presId="urn:microsoft.com/office/officeart/2005/8/layout/cycle2"/>
    <dgm:cxn modelId="{549D8488-C902-4F2C-A380-ABB9B6336FF8}" type="presParOf" srcId="{D780E5F2-BD9D-4759-A9B9-1030439C375A}" destId="{0F790912-B43F-4A94-B750-1ECE182A5606}" srcOrd="7" destOrd="0" presId="urn:microsoft.com/office/officeart/2005/8/layout/cycle2"/>
    <dgm:cxn modelId="{D3B54217-618D-4F76-A2B0-28B82D4495BD}" type="presParOf" srcId="{0F790912-B43F-4A94-B750-1ECE182A5606}" destId="{FD7BBE26-F05B-4A08-A3CA-698C1905FDB1}" srcOrd="0" destOrd="0" presId="urn:microsoft.com/office/officeart/2005/8/layout/cycle2"/>
    <dgm:cxn modelId="{E842357E-C73C-448B-9685-A8EA8EC0947C}" type="presParOf" srcId="{D780E5F2-BD9D-4759-A9B9-1030439C375A}" destId="{E544BFD6-DEFC-4341-974B-8318F3E3C5A6}" srcOrd="8" destOrd="0" presId="urn:microsoft.com/office/officeart/2005/8/layout/cycle2"/>
    <dgm:cxn modelId="{A0916229-0894-4523-8CE1-BC665BA7D643}" type="presParOf" srcId="{D780E5F2-BD9D-4759-A9B9-1030439C375A}" destId="{9F181D79-73AB-4BB8-A622-0AA590FA032C}" srcOrd="9" destOrd="0" presId="urn:microsoft.com/office/officeart/2005/8/layout/cycle2"/>
    <dgm:cxn modelId="{948B304B-7BB0-49D1-B2AD-261E8DF346CA}" type="presParOf" srcId="{9F181D79-73AB-4BB8-A622-0AA590FA032C}" destId="{CF648F11-3262-4426-BE23-BD4D3EB57D3B}" srcOrd="0" destOrd="0" presId="urn:microsoft.com/office/officeart/2005/8/layout/cycle2"/>
    <dgm:cxn modelId="{1B028573-165A-491E-9C39-A5111B30EAC0}" type="presParOf" srcId="{D780E5F2-BD9D-4759-A9B9-1030439C375A}" destId="{7BCE91D6-BBD9-4A23-AC40-D0D4280219EB}" srcOrd="10" destOrd="0" presId="urn:microsoft.com/office/officeart/2005/8/layout/cycle2"/>
    <dgm:cxn modelId="{AD095903-B1A6-44B0-84F9-3EC0415FBAEA}" type="presParOf" srcId="{D780E5F2-BD9D-4759-A9B9-1030439C375A}" destId="{FF1F0131-A4BF-4902-B67E-DC21FB3F8616}" srcOrd="11" destOrd="0" presId="urn:microsoft.com/office/officeart/2005/8/layout/cycle2"/>
    <dgm:cxn modelId="{DF9BAA36-2416-42D0-9859-316418B50116}" type="presParOf" srcId="{FF1F0131-A4BF-4902-B67E-DC21FB3F8616}" destId="{1E4CC916-DDB8-4E73-8B22-26D6B68DA873}" srcOrd="0" destOrd="0" presId="urn:microsoft.com/office/officeart/2005/8/layout/cycle2"/>
  </dgm:cxnLst>
  <dgm:bg/>
  <dgm:whole/>
</dgm:dataModel>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_rels/drawing1.xml.rels><?xml version="1.0" encoding="UTF-8" standalone="yes"?>
<Relationships xmlns="http://schemas.openxmlformats.org/package/2006/relationships"><Relationship Id="rId1" Type="http://schemas.openxmlformats.org/officeDocument/2006/relationships/image" Target="../media/image1.png"/></Relationships>
</file>

<file path=word/drawings/drawing1.xml><?xml version="1.0" encoding="utf-8"?>
<c:userShapes xmlns:c="http://schemas.openxmlformats.org/drawingml/2006/chart">
  <cdr:relSizeAnchor xmlns:cdr="http://schemas.openxmlformats.org/drawingml/2006/chartDrawing">
    <cdr:from>
      <cdr:x>0.11586</cdr:x>
      <cdr:y>0.13225</cdr:y>
    </cdr:from>
    <cdr:to>
      <cdr:x>0.40138</cdr:x>
      <cdr:y>0.38979</cdr:y>
    </cdr:to>
    <cdr:sp macro="" textlink="">
      <cdr:nvSpPr>
        <cdr:cNvPr id="2" name="TextBox 1"/>
        <cdr:cNvSpPr txBox="1"/>
      </cdr:nvSpPr>
      <cdr:spPr>
        <a:xfrm xmlns:a="http://schemas.openxmlformats.org/drawingml/2006/main">
          <a:off x="800099" y="542924"/>
          <a:ext cx="1971675" cy="1057275"/>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endParaRPr lang="tr-TR" sz="1100" baseline="0"/>
        </a:p>
      </cdr:txBody>
    </cdr:sp>
  </cdr:relSizeAnchor>
  <cdr:relSizeAnchor xmlns:cdr="http://schemas.openxmlformats.org/drawingml/2006/chartDrawing">
    <cdr:from>
      <cdr:x>0.06069</cdr:x>
      <cdr:y>0.08353</cdr:y>
    </cdr:from>
    <cdr:to>
      <cdr:x>0.2869</cdr:x>
      <cdr:y>0.18561</cdr:y>
    </cdr:to>
    <cdr:sp macro="" textlink="">
      <cdr:nvSpPr>
        <cdr:cNvPr id="3" name="TextBox 2"/>
        <cdr:cNvSpPr txBox="1"/>
      </cdr:nvSpPr>
      <cdr:spPr>
        <a:xfrm xmlns:a="http://schemas.openxmlformats.org/drawingml/2006/main">
          <a:off x="419099" y="342899"/>
          <a:ext cx="1562100" cy="419100"/>
        </a:xfrm>
        <a:prstGeom xmlns:a="http://schemas.openxmlformats.org/drawingml/2006/main" prst="rect">
          <a:avLst/>
        </a:prstGeom>
      </cdr:spPr>
      <cdr:txBody>
        <a:bodyPr xmlns:a="http://schemas.openxmlformats.org/drawingml/2006/main" wrap="square" rtlCol="0"/>
        <a:lstStyle xmlns:a="http://schemas.openxmlformats.org/drawingml/2006/main"/>
        <a:p xmlns:a="http://schemas.openxmlformats.org/drawingml/2006/main">
          <a:r>
            <a:rPr lang="tr-TR" sz="1100"/>
            <a:t>YURT</a:t>
          </a:r>
          <a:r>
            <a:rPr lang="tr-TR" sz="1100" baseline="0"/>
            <a:t> İÇİ EĞİTİM</a:t>
          </a:r>
          <a:endParaRPr lang="tr-TR" sz="1100"/>
        </a:p>
      </cdr:txBody>
    </cdr:sp>
  </cdr:relSizeAnchor>
  <cdr:relSizeAnchor xmlns:cdr="http://schemas.openxmlformats.org/drawingml/2006/chartDrawing">
    <cdr:from>
      <cdr:x>0</cdr:x>
      <cdr:y>0</cdr:y>
    </cdr:from>
    <cdr:to>
      <cdr:x>0.00353</cdr:x>
      <cdr:y>0.00594</cdr:y>
    </cdr:to>
    <cdr:pic>
      <cdr:nvPicPr>
        <cdr:cNvPr id="4"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0.05931</cdr:x>
      <cdr:y>0.15081</cdr:y>
    </cdr:from>
    <cdr:to>
      <cdr:x>0.19172</cdr:x>
      <cdr:y>0.37355</cdr:y>
    </cdr:to>
    <cdr:sp macro="" textlink="">
      <cdr:nvSpPr>
        <cdr:cNvPr id="6" name="TextBox 5"/>
        <cdr:cNvSpPr txBox="1"/>
      </cdr:nvSpPr>
      <cdr:spPr>
        <a:xfrm xmlns:a="http://schemas.openxmlformats.org/drawingml/2006/main">
          <a:off x="409574" y="619124"/>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r>
            <a:rPr lang="tr-TR" sz="1100"/>
            <a:t>YURT</a:t>
          </a:r>
          <a:r>
            <a:rPr lang="tr-TR" sz="1100" baseline="0"/>
            <a:t> DIŞI EĞİTİM</a:t>
          </a:r>
          <a:endParaRPr lang="tr-TR" sz="1100"/>
        </a:p>
      </cdr:txBody>
    </cdr:sp>
  </cdr:relSizeAnchor>
  <cdr:relSizeAnchor xmlns:cdr="http://schemas.openxmlformats.org/drawingml/2006/chartDrawing">
    <cdr:from>
      <cdr:x>0.04215</cdr:x>
      <cdr:y>0.09338</cdr:y>
    </cdr:from>
    <cdr:to>
      <cdr:x>0.06116</cdr:x>
      <cdr:y>0.1253</cdr:y>
    </cdr:to>
    <cdr:sp macro="" textlink="">
      <cdr:nvSpPr>
        <cdr:cNvPr id="7" name="TextBox 8"/>
        <cdr:cNvSpPr txBox="1"/>
      </cdr:nvSpPr>
      <cdr:spPr>
        <a:xfrm xmlns:a="http://schemas.openxmlformats.org/drawingml/2006/main">
          <a:off x="462455" y="409904"/>
          <a:ext cx="208590" cy="140091"/>
        </a:xfrm>
        <a:prstGeom xmlns:a="http://schemas.openxmlformats.org/drawingml/2006/main" prst="rect">
          <a:avLst/>
        </a:prstGeom>
        <a:solidFill xmlns:a="http://schemas.openxmlformats.org/drawingml/2006/main">
          <a:srgbClr val="4F81BD"/>
        </a:solidFill>
        <a:ln xmlns:a="http://schemas.openxmlformats.org/drawingml/2006/main" w="9525" cmpd="sng">
          <a:solidFill>
            <a:sysClr val="window" lastClr="FFFFFF">
              <a:shade val="50000"/>
            </a:sysClr>
          </a:solidFill>
        </a:ln>
        <a:effectLst xmlns:a="http://schemas.openxmlformats.org/drawingml/2006/main"/>
      </cdr:spPr>
      <cdr:style>
        <a:lnRef xmlns:a="http://schemas.openxmlformats.org/drawingml/2006/main" idx="0">
          <a:scrgbClr r="0" g="0" b="0"/>
        </a:lnRef>
        <a:fillRef xmlns:a="http://schemas.openxmlformats.org/drawingml/2006/main" idx="0">
          <a:scrgbClr r="0" g="0" b="0"/>
        </a:fillRef>
        <a:effectRef xmlns:a="http://schemas.openxmlformats.org/drawingml/2006/main" idx="0">
          <a:scrgbClr r="0" g="0" b="0"/>
        </a:effectRef>
        <a:fontRef xmlns:a="http://schemas.openxmlformats.org/drawingml/2006/main" idx="minor">
          <a:schemeClr val="dk1"/>
        </a:fontRef>
      </cdr:style>
      <cdr:txBody>
        <a:bodyPr xmlns:a="http://schemas.openxmlformats.org/drawingml/2006/main" wrap="square" rtlCol="0" anchor="t"/>
        <a:lstStyle xmlns:a="http://schemas.openxmlformats.org/drawingml/2006/main">
          <a:lvl1pPr marL="0" indent="0">
            <a:defRPr sz="1100">
              <a:solidFill>
                <a:sysClr val="windowText" lastClr="000000"/>
              </a:solidFill>
              <a:latin typeface="Calibri"/>
            </a:defRPr>
          </a:lvl1pPr>
          <a:lvl2pPr marL="457200" indent="0">
            <a:defRPr sz="1100">
              <a:solidFill>
                <a:sysClr val="windowText" lastClr="000000"/>
              </a:solidFill>
              <a:latin typeface="Calibri"/>
            </a:defRPr>
          </a:lvl2pPr>
          <a:lvl3pPr marL="914400" indent="0">
            <a:defRPr sz="1100">
              <a:solidFill>
                <a:sysClr val="windowText" lastClr="000000"/>
              </a:solidFill>
              <a:latin typeface="Calibri"/>
            </a:defRPr>
          </a:lvl3pPr>
          <a:lvl4pPr marL="1371600" indent="0">
            <a:defRPr sz="1100">
              <a:solidFill>
                <a:sysClr val="windowText" lastClr="000000"/>
              </a:solidFill>
              <a:latin typeface="Calibri"/>
            </a:defRPr>
          </a:lvl4pPr>
          <a:lvl5pPr marL="1828800" indent="0">
            <a:defRPr sz="1100">
              <a:solidFill>
                <a:sysClr val="windowText" lastClr="000000"/>
              </a:solidFill>
              <a:latin typeface="Calibri"/>
            </a:defRPr>
          </a:lvl5pPr>
          <a:lvl6pPr marL="2286000" indent="0">
            <a:defRPr sz="1100">
              <a:solidFill>
                <a:sysClr val="windowText" lastClr="000000"/>
              </a:solidFill>
              <a:latin typeface="Calibri"/>
            </a:defRPr>
          </a:lvl6pPr>
          <a:lvl7pPr marL="2743200" indent="0">
            <a:defRPr sz="1100">
              <a:solidFill>
                <a:sysClr val="windowText" lastClr="000000"/>
              </a:solidFill>
              <a:latin typeface="Calibri"/>
            </a:defRPr>
          </a:lvl7pPr>
          <a:lvl8pPr marL="3200400" indent="0">
            <a:defRPr sz="1100">
              <a:solidFill>
                <a:sysClr val="windowText" lastClr="000000"/>
              </a:solidFill>
              <a:latin typeface="Calibri"/>
            </a:defRPr>
          </a:lvl8pPr>
          <a:lvl9pPr marL="3657600" indent="0">
            <a:defRPr sz="1100">
              <a:solidFill>
                <a:sysClr val="windowText" lastClr="000000"/>
              </a:solidFill>
              <a:latin typeface="Calibri"/>
            </a:defRPr>
          </a:lvl9pPr>
        </a:lstStyle>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endParaRPr lang="tr-TR" sz="1100">
            <a:solidFill>
              <a:sysClr val="windowText" lastClr="000000"/>
            </a:solidFill>
            <a:latin typeface="Calibri"/>
          </a:endParaRPr>
        </a:p>
        <a:p xmlns:a="http://schemas.openxmlformats.org/drawingml/2006/main">
          <a:endParaRPr lang="tr-TR" sz="1100"/>
        </a:p>
      </cdr:txBody>
    </cdr:sp>
  </cdr:relSizeAnchor>
  <cdr:relSizeAnchor xmlns:cdr="http://schemas.openxmlformats.org/drawingml/2006/chartDrawing">
    <cdr:from>
      <cdr:x>0</cdr:x>
      <cdr:y>0</cdr:y>
    </cdr:from>
    <cdr:to>
      <cdr:x>0.00222</cdr:x>
      <cdr:y>0.00556</cdr:y>
    </cdr:to>
    <cdr:pic>
      <cdr:nvPicPr>
        <cdr:cNvPr id="8"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0.00222</cdr:x>
      <cdr:y>0.00556</cdr:y>
    </cdr:to>
    <cdr:pic>
      <cdr:nvPicPr>
        <cdr:cNvPr id="9"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cdr:x>
      <cdr:y>0</cdr:y>
    </cdr:from>
    <cdr:to>
      <cdr:x>0.00222</cdr:x>
      <cdr:y>0.00556</cdr:y>
    </cdr:to>
    <cdr:pic>
      <cdr:nvPicPr>
        <cdr:cNvPr id="10"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0"/>
          <a:ext cx="24386" cy="24386"/>
        </a:xfrm>
        <a:prstGeom xmlns:a="http://schemas.openxmlformats.org/drawingml/2006/main" prst="rect">
          <a:avLst/>
        </a:prstGeom>
      </cdr:spPr>
    </cdr:pic>
  </cdr:relSizeAnchor>
  <cdr:relSizeAnchor xmlns:cdr="http://schemas.openxmlformats.org/drawingml/2006/chartDrawing">
    <cdr:from>
      <cdr:x>0.04358</cdr:x>
      <cdr:y>0.16254</cdr:y>
    </cdr:from>
    <cdr:to>
      <cdr:x>0.06082</cdr:x>
      <cdr:y>0.20205</cdr:y>
    </cdr:to>
    <cdr:sp macro="" textlink="">
      <cdr:nvSpPr>
        <cdr:cNvPr id="11" name="TextBox 10"/>
        <cdr:cNvSpPr txBox="1"/>
      </cdr:nvSpPr>
      <cdr:spPr>
        <a:xfrm xmlns:a="http://schemas.openxmlformats.org/drawingml/2006/main">
          <a:off x="478220" y="713443"/>
          <a:ext cx="189187" cy="173422"/>
        </a:xfrm>
        <a:prstGeom xmlns:a="http://schemas.openxmlformats.org/drawingml/2006/main" prst="rect">
          <a:avLst/>
        </a:prstGeom>
        <a:solidFill xmlns:a="http://schemas.openxmlformats.org/drawingml/2006/main">
          <a:srgbClr val="FF0000"/>
        </a:solidFill>
      </cdr:spPr>
      <cdr:txBody>
        <a:bodyPr xmlns:a="http://schemas.openxmlformats.org/drawingml/2006/main" wrap="square" rtlCol="0"/>
        <a:lstStyle xmlns:a="http://schemas.openxmlformats.org/drawingml/2006/main"/>
        <a:p xmlns:a="http://schemas.openxmlformats.org/drawingml/2006/main">
          <a:endParaRPr lang="tr-TR" sz="1100" dirty="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213FD-5287-4B55-9D50-659089374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1522</Words>
  <Characters>8677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KKTC Polis Teşkilatı</Company>
  <LinksUpToDate>false</LinksUpToDate>
  <CharactersWithSpaces>10179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2017-06-05T05:39:00Z</dcterms:created>
  <dcterms:modified xsi:type="dcterms:W3CDTF">2017-06-05T06:17:00Z</dcterms:modified>
</cp:coreProperties>
</file>