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658" w:rsidRPr="00B24467" w:rsidRDefault="00740658" w:rsidP="00740658">
      <w:pPr>
        <w:spacing w:line="360" w:lineRule="auto"/>
        <w:jc w:val="center"/>
        <w:rPr>
          <w:rFonts w:eastAsia="Calibri"/>
          <w:b/>
          <w:sz w:val="24"/>
          <w:szCs w:val="24"/>
          <w:lang w:bidi="en-US"/>
        </w:rPr>
      </w:pPr>
    </w:p>
    <w:p w:rsidR="00740658" w:rsidRDefault="00740658" w:rsidP="005764E3">
      <w:pPr>
        <w:jc w:val="center"/>
        <w:rPr>
          <w:rFonts w:eastAsia="Calibri"/>
          <w:b/>
          <w:sz w:val="22"/>
          <w:szCs w:val="22"/>
          <w:lang w:bidi="en-US"/>
        </w:rPr>
      </w:pPr>
      <w:r w:rsidRPr="005764E3">
        <w:rPr>
          <w:rFonts w:eastAsia="Calibri"/>
          <w:b/>
          <w:sz w:val="22"/>
          <w:szCs w:val="22"/>
          <w:lang w:bidi="en-US"/>
        </w:rPr>
        <w:t xml:space="preserve">The prevalence of psychoactive substance use among middle school students in the Turkish Republic </w:t>
      </w:r>
      <w:r w:rsidR="005764E3">
        <w:rPr>
          <w:rFonts w:eastAsia="Calibri"/>
          <w:b/>
          <w:sz w:val="22"/>
          <w:szCs w:val="22"/>
          <w:lang w:bidi="en-US"/>
        </w:rPr>
        <w:t>o</w:t>
      </w:r>
      <w:r w:rsidRPr="005764E3">
        <w:rPr>
          <w:rFonts w:eastAsia="Calibri"/>
          <w:b/>
          <w:sz w:val="22"/>
          <w:szCs w:val="22"/>
          <w:lang w:bidi="en-US"/>
        </w:rPr>
        <w:t>f Northern Cyprus</w:t>
      </w:r>
    </w:p>
    <w:p w:rsidR="0093278E" w:rsidRDefault="0093278E" w:rsidP="005764E3">
      <w:pPr>
        <w:jc w:val="center"/>
        <w:rPr>
          <w:rFonts w:eastAsia="Calibri"/>
          <w:b/>
          <w:sz w:val="22"/>
          <w:szCs w:val="22"/>
          <w:lang w:bidi="en-US"/>
        </w:rPr>
      </w:pPr>
    </w:p>
    <w:p w:rsidR="0093278E" w:rsidRPr="0093278E" w:rsidRDefault="0093278E" w:rsidP="0093278E">
      <w:pPr>
        <w:spacing w:line="360" w:lineRule="auto"/>
        <w:jc w:val="center"/>
        <w:rPr>
          <w:rFonts w:eastAsia="Calibri"/>
          <w:b/>
          <w:sz w:val="18"/>
          <w:szCs w:val="18"/>
          <w:vertAlign w:val="superscript"/>
        </w:rPr>
      </w:pPr>
      <w:proofErr w:type="spellStart"/>
      <w:r w:rsidRPr="0093278E">
        <w:rPr>
          <w:rFonts w:eastAsia="Calibri"/>
          <w:b/>
          <w:sz w:val="18"/>
          <w:szCs w:val="18"/>
        </w:rPr>
        <w:t>Prof.Dr.Mehmet</w:t>
      </w:r>
      <w:proofErr w:type="spellEnd"/>
      <w:r w:rsidRPr="0093278E">
        <w:rPr>
          <w:rFonts w:eastAsia="Calibri"/>
          <w:b/>
          <w:sz w:val="18"/>
          <w:szCs w:val="18"/>
        </w:rPr>
        <w:t xml:space="preserve"> Çakıcı</w:t>
      </w:r>
      <w:r w:rsidRPr="0093278E">
        <w:rPr>
          <w:rFonts w:eastAsia="Calibri"/>
          <w:b/>
          <w:sz w:val="18"/>
          <w:szCs w:val="18"/>
          <w:vertAlign w:val="superscript"/>
        </w:rPr>
        <w:t>1</w:t>
      </w:r>
      <w:r w:rsidRPr="0093278E">
        <w:rPr>
          <w:rFonts w:eastAsia="Calibri"/>
          <w:b/>
          <w:sz w:val="18"/>
          <w:szCs w:val="18"/>
        </w:rPr>
        <w:t xml:space="preserve">, </w:t>
      </w:r>
      <w:proofErr w:type="spellStart"/>
      <w:r w:rsidRPr="0093278E">
        <w:rPr>
          <w:rFonts w:eastAsia="Calibri"/>
          <w:b/>
          <w:sz w:val="18"/>
          <w:szCs w:val="18"/>
        </w:rPr>
        <w:t>Assoc.Prof.Ebru</w:t>
      </w:r>
      <w:proofErr w:type="spellEnd"/>
      <w:r w:rsidRPr="0093278E">
        <w:rPr>
          <w:rFonts w:eastAsia="Calibri"/>
          <w:b/>
          <w:sz w:val="18"/>
          <w:szCs w:val="18"/>
        </w:rPr>
        <w:t xml:space="preserve"> Çakıcı</w:t>
      </w:r>
      <w:r w:rsidRPr="0093278E">
        <w:rPr>
          <w:rFonts w:eastAsia="Calibri"/>
          <w:b/>
          <w:sz w:val="18"/>
          <w:szCs w:val="18"/>
          <w:vertAlign w:val="superscript"/>
        </w:rPr>
        <w:t>1</w:t>
      </w:r>
      <w:r w:rsidRPr="0093278E">
        <w:rPr>
          <w:rFonts w:eastAsia="Calibri"/>
          <w:b/>
          <w:sz w:val="18"/>
          <w:szCs w:val="18"/>
        </w:rPr>
        <w:t xml:space="preserve">, </w:t>
      </w:r>
      <w:proofErr w:type="spellStart"/>
      <w:r w:rsidRPr="0093278E">
        <w:rPr>
          <w:rFonts w:eastAsia="Calibri"/>
          <w:b/>
          <w:sz w:val="18"/>
          <w:szCs w:val="18"/>
        </w:rPr>
        <w:t>İpek</w:t>
      </w:r>
      <w:proofErr w:type="spellEnd"/>
      <w:r w:rsidRPr="0093278E">
        <w:rPr>
          <w:rFonts w:eastAsia="Calibri"/>
          <w:b/>
          <w:sz w:val="18"/>
          <w:szCs w:val="18"/>
        </w:rPr>
        <w:t xml:space="preserve"> Özsoy</w:t>
      </w:r>
      <w:r w:rsidRPr="0093278E">
        <w:rPr>
          <w:rFonts w:eastAsia="Calibri"/>
          <w:b/>
          <w:sz w:val="18"/>
          <w:szCs w:val="18"/>
          <w:vertAlign w:val="superscript"/>
        </w:rPr>
        <w:t>1</w:t>
      </w:r>
      <w:r w:rsidRPr="0093278E">
        <w:rPr>
          <w:rFonts w:eastAsia="Calibri"/>
          <w:b/>
          <w:sz w:val="18"/>
          <w:szCs w:val="18"/>
        </w:rPr>
        <w:t xml:space="preserve">, </w:t>
      </w:r>
      <w:proofErr w:type="spellStart"/>
      <w:r w:rsidRPr="0093278E">
        <w:rPr>
          <w:rFonts w:eastAsia="Calibri"/>
          <w:b/>
          <w:sz w:val="18"/>
          <w:szCs w:val="18"/>
        </w:rPr>
        <w:t>Meryem</w:t>
      </w:r>
      <w:proofErr w:type="spellEnd"/>
      <w:r w:rsidRPr="0093278E">
        <w:rPr>
          <w:rFonts w:eastAsia="Calibri"/>
          <w:b/>
          <w:sz w:val="18"/>
          <w:szCs w:val="18"/>
        </w:rPr>
        <w:t xml:space="preserve"> Karaaziz</w:t>
      </w:r>
      <w:r w:rsidRPr="0093278E">
        <w:rPr>
          <w:rFonts w:eastAsia="Calibri"/>
          <w:b/>
          <w:sz w:val="18"/>
          <w:szCs w:val="18"/>
          <w:vertAlign w:val="superscript"/>
        </w:rPr>
        <w:t>1</w:t>
      </w:r>
      <w:r w:rsidRPr="0093278E">
        <w:rPr>
          <w:rFonts w:eastAsia="Calibri"/>
          <w:b/>
          <w:sz w:val="18"/>
          <w:szCs w:val="18"/>
        </w:rPr>
        <w:t xml:space="preserve">, </w:t>
      </w:r>
      <w:proofErr w:type="spellStart"/>
      <w:r w:rsidRPr="0093278E">
        <w:rPr>
          <w:rFonts w:eastAsia="Calibri"/>
          <w:b/>
          <w:sz w:val="18"/>
          <w:szCs w:val="18"/>
        </w:rPr>
        <w:t>Utku</w:t>
      </w:r>
      <w:proofErr w:type="spellEnd"/>
      <w:r w:rsidRPr="0093278E">
        <w:rPr>
          <w:rFonts w:eastAsia="Calibri"/>
          <w:b/>
          <w:sz w:val="18"/>
          <w:szCs w:val="18"/>
        </w:rPr>
        <w:t xml:space="preserve"> Beyazıt</w:t>
      </w:r>
      <w:r w:rsidRPr="0093278E">
        <w:rPr>
          <w:rFonts w:eastAsia="Calibri"/>
          <w:b/>
          <w:sz w:val="18"/>
          <w:szCs w:val="18"/>
          <w:vertAlign w:val="superscript"/>
        </w:rPr>
        <w:t>1</w:t>
      </w:r>
      <w:r w:rsidRPr="0093278E">
        <w:rPr>
          <w:rFonts w:eastAsia="Calibri"/>
          <w:b/>
          <w:sz w:val="18"/>
          <w:szCs w:val="18"/>
        </w:rPr>
        <w:t xml:space="preserve">, </w:t>
      </w:r>
      <w:proofErr w:type="spellStart"/>
      <w:r w:rsidRPr="0093278E">
        <w:rPr>
          <w:rFonts w:eastAsia="Calibri"/>
          <w:b/>
          <w:sz w:val="18"/>
          <w:szCs w:val="18"/>
        </w:rPr>
        <w:t>Sevil</w:t>
      </w:r>
      <w:proofErr w:type="spellEnd"/>
      <w:r w:rsidRPr="0093278E">
        <w:rPr>
          <w:rFonts w:eastAsia="Calibri"/>
          <w:b/>
          <w:sz w:val="18"/>
          <w:szCs w:val="18"/>
        </w:rPr>
        <w:t xml:space="preserve"> Hançerli</w:t>
      </w:r>
      <w:r w:rsidRPr="0093278E">
        <w:rPr>
          <w:rFonts w:eastAsia="Calibri"/>
          <w:b/>
          <w:sz w:val="18"/>
          <w:szCs w:val="18"/>
          <w:vertAlign w:val="superscript"/>
        </w:rPr>
        <w:t>2</w:t>
      </w:r>
    </w:p>
    <w:p w:rsidR="0093278E" w:rsidRPr="0093278E" w:rsidRDefault="0093278E" w:rsidP="0093278E">
      <w:pPr>
        <w:spacing w:line="360" w:lineRule="auto"/>
        <w:jc w:val="center"/>
        <w:rPr>
          <w:rFonts w:eastAsia="Calibri"/>
          <w:b/>
          <w:sz w:val="18"/>
          <w:szCs w:val="18"/>
        </w:rPr>
      </w:pPr>
      <w:r w:rsidRPr="0093278E">
        <w:rPr>
          <w:rFonts w:eastAsia="Calibri"/>
          <w:b/>
          <w:sz w:val="18"/>
          <w:szCs w:val="18"/>
          <w:vertAlign w:val="superscript"/>
        </w:rPr>
        <w:t>1</w:t>
      </w:r>
      <w:r w:rsidRPr="0093278E">
        <w:rPr>
          <w:rFonts w:eastAsia="Calibri"/>
          <w:b/>
          <w:sz w:val="18"/>
          <w:szCs w:val="18"/>
        </w:rPr>
        <w:t>Near East University, Faculty of Arts and Sciences, Department of Psychology</w:t>
      </w:r>
    </w:p>
    <w:p w:rsidR="0093278E" w:rsidRPr="0093278E" w:rsidRDefault="0093278E" w:rsidP="0093278E">
      <w:pPr>
        <w:spacing w:line="360" w:lineRule="auto"/>
        <w:jc w:val="center"/>
        <w:rPr>
          <w:rFonts w:eastAsia="Calibri"/>
          <w:b/>
          <w:sz w:val="18"/>
          <w:szCs w:val="18"/>
        </w:rPr>
      </w:pPr>
      <w:r w:rsidRPr="0093278E">
        <w:rPr>
          <w:rFonts w:eastAsia="Calibri"/>
          <w:b/>
          <w:sz w:val="18"/>
          <w:szCs w:val="18"/>
          <w:vertAlign w:val="superscript"/>
        </w:rPr>
        <w:t>2</w:t>
      </w:r>
      <w:r w:rsidRPr="0093278E">
        <w:rPr>
          <w:rFonts w:eastAsia="Calibri"/>
          <w:b/>
          <w:sz w:val="18"/>
          <w:szCs w:val="18"/>
        </w:rPr>
        <w:t>TRNC Ministry of Interior, Prison Directorate</w:t>
      </w:r>
    </w:p>
    <w:p w:rsidR="0093278E" w:rsidRPr="0093278E" w:rsidRDefault="0093278E" w:rsidP="0093278E">
      <w:pPr>
        <w:spacing w:line="360" w:lineRule="auto"/>
        <w:jc w:val="center"/>
        <w:rPr>
          <w:rFonts w:eastAsia="Calibri"/>
          <w:b/>
          <w:sz w:val="18"/>
          <w:szCs w:val="18"/>
        </w:rPr>
      </w:pPr>
    </w:p>
    <w:p w:rsidR="0093278E" w:rsidRPr="005764E3" w:rsidRDefault="0093278E" w:rsidP="005764E3">
      <w:pPr>
        <w:jc w:val="center"/>
        <w:rPr>
          <w:sz w:val="22"/>
          <w:szCs w:val="22"/>
        </w:rPr>
      </w:pPr>
    </w:p>
    <w:p w:rsidR="009B14B2" w:rsidRPr="00FF17CD" w:rsidRDefault="009B14B2" w:rsidP="009B14B2">
      <w:pPr>
        <w:jc w:val="center"/>
        <w:rPr>
          <w:sz w:val="28"/>
          <w:szCs w:val="28"/>
          <w:lang w:val="en-US"/>
        </w:rPr>
      </w:pPr>
    </w:p>
    <w:p w:rsidR="009B14B2" w:rsidRDefault="009B14B2" w:rsidP="009B14B2">
      <w:pPr>
        <w:pStyle w:val="Els-Abstract-head"/>
      </w:pPr>
      <w:r>
        <w:t>Abstract</w:t>
      </w:r>
    </w:p>
    <w:p w:rsidR="00740658" w:rsidRPr="00740658" w:rsidRDefault="00740658" w:rsidP="00740658">
      <w:pPr>
        <w:jc w:val="both"/>
        <w:rPr>
          <w:sz w:val="18"/>
          <w:szCs w:val="18"/>
          <w:lang w:bidi="en-US"/>
        </w:rPr>
      </w:pPr>
      <w:r w:rsidRPr="00740658">
        <w:rPr>
          <w:sz w:val="18"/>
          <w:szCs w:val="18"/>
          <w:lang w:bidi="en-US"/>
        </w:rPr>
        <w:t xml:space="preserve">This study is a follow-up study of the study which was conducted in 1999. In the light of the recent results, this study’s aim is to investigate prevalence of psychoactive substance use; such as cigarettes, alcohol and others, and to see the change in ratios compared to previous years. This study was conducted in March 2015, with 1487 secondary school students from state schools and private schools in TRNC. A questionnaire form consisted of questions about socio-demographic </w:t>
      </w:r>
      <w:proofErr w:type="gramStart"/>
      <w:r w:rsidRPr="00740658">
        <w:rPr>
          <w:sz w:val="18"/>
          <w:szCs w:val="18"/>
          <w:lang w:bidi="en-US"/>
        </w:rPr>
        <w:t>characteristics,</w:t>
      </w:r>
      <w:proofErr w:type="gramEnd"/>
      <w:r w:rsidRPr="00740658">
        <w:rPr>
          <w:sz w:val="18"/>
          <w:szCs w:val="18"/>
          <w:lang w:bidi="en-US"/>
        </w:rPr>
        <w:t xml:space="preserve"> use of cigarettes, alcohol and other psychoactive substances was administered to the students. Results showed that, the percentage of smoking at least once was 8.9%, alcohol use percentage was 36.3%, use of other psychoactive drugs (OPD) was 5.5% and the use of illegal substances was 3.9%. Research findings indicated that there is an increase in the use of different kinds of psychoactive substances. </w:t>
      </w:r>
    </w:p>
    <w:p w:rsidR="00FB0CCB" w:rsidRDefault="00FB0CCB" w:rsidP="00FB0CCB">
      <w:pPr>
        <w:rPr>
          <w:lang w:val="en-US" w:eastAsia="tr-TR"/>
        </w:rPr>
      </w:pPr>
    </w:p>
    <w:p w:rsidR="00FB0CCB" w:rsidRPr="00740658" w:rsidRDefault="00FB0CCB" w:rsidP="00FB0CCB">
      <w:pPr>
        <w:rPr>
          <w:sz w:val="18"/>
          <w:szCs w:val="18"/>
          <w:lang w:val="en-US" w:eastAsia="tr-TR"/>
        </w:rPr>
      </w:pPr>
      <w:r w:rsidRPr="00FB0CCB">
        <w:rPr>
          <w:i/>
          <w:sz w:val="18"/>
          <w:szCs w:val="18"/>
          <w:lang w:val="en-US" w:eastAsia="tr-TR"/>
        </w:rPr>
        <w:t>Keywords</w:t>
      </w:r>
      <w:r w:rsidRPr="00FB0CCB">
        <w:rPr>
          <w:sz w:val="18"/>
          <w:szCs w:val="18"/>
          <w:lang w:val="en-US" w:eastAsia="tr-TR"/>
        </w:rPr>
        <w:t xml:space="preserve">: </w:t>
      </w:r>
      <w:r w:rsidR="00740658" w:rsidRPr="00740658">
        <w:rPr>
          <w:sz w:val="18"/>
          <w:szCs w:val="18"/>
          <w:lang w:bidi="en-US"/>
        </w:rPr>
        <w:t>Psychoactive substance use, prevalence, risk factors, secondary school students</w:t>
      </w:r>
    </w:p>
    <w:p w:rsidR="009B14B2" w:rsidRDefault="009B14B2" w:rsidP="00FB0CCB">
      <w:pPr>
        <w:pStyle w:val="Els-keywords"/>
        <w:spacing w:after="0"/>
      </w:pPr>
    </w:p>
    <w:p w:rsidR="009B14B2" w:rsidRDefault="009B14B2" w:rsidP="009B14B2">
      <w:pPr>
        <w:rPr>
          <w:lang w:val="en-US"/>
        </w:rPr>
      </w:pPr>
    </w:p>
    <w:p w:rsidR="00740658" w:rsidRDefault="00740658" w:rsidP="009B14B2">
      <w:pPr>
        <w:rPr>
          <w:lang w:val="en-US"/>
        </w:rPr>
      </w:pPr>
    </w:p>
    <w:p w:rsidR="00740658" w:rsidRDefault="00740658" w:rsidP="009B14B2">
      <w:pPr>
        <w:rPr>
          <w:lang w:val="en-US"/>
        </w:rPr>
      </w:pPr>
    </w:p>
    <w:p w:rsidR="00740658" w:rsidRDefault="00740658" w:rsidP="009B14B2">
      <w:pPr>
        <w:rPr>
          <w:lang w:val="en-US"/>
        </w:rPr>
      </w:pPr>
    </w:p>
    <w:p w:rsidR="00740658" w:rsidRDefault="00740658" w:rsidP="009B14B2">
      <w:pPr>
        <w:rPr>
          <w:lang w:val="en-US"/>
        </w:rPr>
      </w:pPr>
    </w:p>
    <w:p w:rsidR="00740658" w:rsidRDefault="00740658" w:rsidP="009B14B2">
      <w:pPr>
        <w:rPr>
          <w:lang w:val="en-US"/>
        </w:rPr>
      </w:pPr>
    </w:p>
    <w:p w:rsidR="00740658" w:rsidRDefault="00740658" w:rsidP="009B14B2">
      <w:pPr>
        <w:rPr>
          <w:lang w:val="en-US"/>
        </w:rPr>
      </w:pPr>
    </w:p>
    <w:p w:rsidR="00740658" w:rsidRDefault="00740658" w:rsidP="009B14B2">
      <w:pPr>
        <w:rPr>
          <w:lang w:val="en-US"/>
        </w:rPr>
      </w:pPr>
    </w:p>
    <w:p w:rsidR="00740658" w:rsidRDefault="00740658" w:rsidP="009B14B2">
      <w:pPr>
        <w:rPr>
          <w:lang w:val="en-US"/>
        </w:rPr>
      </w:pPr>
    </w:p>
    <w:p w:rsidR="00740658" w:rsidRDefault="00740658" w:rsidP="009B14B2">
      <w:pPr>
        <w:rPr>
          <w:lang w:val="en-US"/>
        </w:rPr>
      </w:pPr>
    </w:p>
    <w:p w:rsidR="00740658" w:rsidRDefault="00740658" w:rsidP="009B14B2">
      <w:pPr>
        <w:rPr>
          <w:lang w:val="en-US"/>
        </w:rPr>
      </w:pPr>
    </w:p>
    <w:p w:rsidR="00740658" w:rsidRDefault="00740658" w:rsidP="009B14B2">
      <w:pPr>
        <w:rPr>
          <w:lang w:val="en-US"/>
        </w:rPr>
      </w:pPr>
    </w:p>
    <w:p w:rsidR="00740658" w:rsidRDefault="00740658" w:rsidP="009B14B2">
      <w:pPr>
        <w:rPr>
          <w:lang w:val="en-US"/>
        </w:rPr>
      </w:pPr>
    </w:p>
    <w:p w:rsidR="00740658" w:rsidRDefault="00740658" w:rsidP="009B14B2">
      <w:pPr>
        <w:rPr>
          <w:lang w:val="en-US"/>
        </w:rPr>
      </w:pPr>
    </w:p>
    <w:p w:rsidR="00740658" w:rsidRDefault="00740658" w:rsidP="009B14B2">
      <w:pPr>
        <w:rPr>
          <w:lang w:val="en-US"/>
        </w:rPr>
      </w:pPr>
    </w:p>
    <w:p w:rsidR="00740658" w:rsidRDefault="00740658" w:rsidP="009B14B2">
      <w:pPr>
        <w:rPr>
          <w:lang w:val="en-US"/>
        </w:rPr>
      </w:pPr>
    </w:p>
    <w:p w:rsidR="00740658" w:rsidRDefault="00740658" w:rsidP="009B14B2">
      <w:pPr>
        <w:rPr>
          <w:lang w:val="en-US"/>
        </w:rPr>
      </w:pPr>
    </w:p>
    <w:p w:rsidR="00740658" w:rsidRDefault="00740658" w:rsidP="009B14B2">
      <w:pPr>
        <w:rPr>
          <w:lang w:val="en-US"/>
        </w:rPr>
      </w:pPr>
    </w:p>
    <w:p w:rsidR="00740658" w:rsidRDefault="00740658" w:rsidP="009B14B2">
      <w:pPr>
        <w:rPr>
          <w:lang w:val="en-US"/>
        </w:rPr>
      </w:pPr>
    </w:p>
    <w:p w:rsidR="00740658" w:rsidRDefault="00740658" w:rsidP="009B14B2">
      <w:pPr>
        <w:rPr>
          <w:lang w:val="en-US"/>
        </w:rPr>
      </w:pPr>
    </w:p>
    <w:p w:rsidR="00740658" w:rsidRDefault="00740658" w:rsidP="009B14B2">
      <w:pPr>
        <w:rPr>
          <w:lang w:val="en-US"/>
        </w:rPr>
      </w:pPr>
    </w:p>
    <w:p w:rsidR="00740658" w:rsidRDefault="00740658" w:rsidP="009B14B2">
      <w:pPr>
        <w:rPr>
          <w:lang w:val="en-US"/>
        </w:rPr>
      </w:pPr>
    </w:p>
    <w:p w:rsidR="00740658" w:rsidRDefault="00740658" w:rsidP="009B14B2">
      <w:pPr>
        <w:rPr>
          <w:lang w:val="en-US"/>
        </w:rPr>
      </w:pPr>
    </w:p>
    <w:p w:rsidR="00740658" w:rsidRDefault="00740658" w:rsidP="009B14B2">
      <w:pPr>
        <w:rPr>
          <w:lang w:val="en-US"/>
        </w:rPr>
      </w:pPr>
    </w:p>
    <w:p w:rsidR="00740658" w:rsidRDefault="00740658" w:rsidP="009B14B2">
      <w:pPr>
        <w:rPr>
          <w:lang w:val="en-US"/>
        </w:rPr>
      </w:pPr>
    </w:p>
    <w:p w:rsidR="00740658" w:rsidRDefault="00740658" w:rsidP="009B14B2">
      <w:pPr>
        <w:rPr>
          <w:lang w:val="en-US"/>
        </w:rPr>
      </w:pPr>
    </w:p>
    <w:p w:rsidR="00740658" w:rsidRPr="009B14B2" w:rsidRDefault="00740658" w:rsidP="009B14B2">
      <w:pPr>
        <w:rPr>
          <w:lang w:val="en-US"/>
        </w:rPr>
      </w:pPr>
    </w:p>
    <w:p w:rsidR="009B14B2" w:rsidRDefault="00740658" w:rsidP="009B14B2">
      <w:pPr>
        <w:pStyle w:val="Els-1storder-head"/>
        <w:spacing w:before="0" w:after="0"/>
        <w:ind w:left="57" w:hanging="57"/>
      </w:pPr>
      <w:r>
        <w:lastRenderedPageBreak/>
        <w:t>Introduction</w:t>
      </w:r>
    </w:p>
    <w:p w:rsidR="00740658" w:rsidRPr="00740658" w:rsidRDefault="00740658" w:rsidP="00740658">
      <w:pPr>
        <w:pStyle w:val="Els-body-text"/>
        <w:spacing w:line="240" w:lineRule="auto"/>
        <w:rPr>
          <w:lang w:eastAsia="tr-TR"/>
        </w:rPr>
      </w:pPr>
    </w:p>
    <w:p w:rsidR="00740658" w:rsidRDefault="00740658" w:rsidP="005764E3">
      <w:pPr>
        <w:ind w:firstLine="57"/>
        <w:jc w:val="both"/>
        <w:rPr>
          <w:lang w:bidi="en-US"/>
        </w:rPr>
      </w:pPr>
      <w:r w:rsidRPr="00740658">
        <w:rPr>
          <w:lang w:bidi="en-US"/>
        </w:rPr>
        <w:t>The use of psychoactive substances is one of the most important problems in the world and needs to be overemphasized (</w:t>
      </w:r>
      <w:proofErr w:type="spellStart"/>
      <w:r w:rsidRPr="00740658">
        <w:rPr>
          <w:lang w:bidi="en-US"/>
        </w:rPr>
        <w:t>Ögel</w:t>
      </w:r>
      <w:proofErr w:type="spellEnd"/>
      <w:r w:rsidRPr="00740658">
        <w:rPr>
          <w:lang w:bidi="en-US"/>
        </w:rPr>
        <w:t xml:space="preserve">, Tamar, </w:t>
      </w:r>
      <w:proofErr w:type="spellStart"/>
      <w:r w:rsidRPr="00740658">
        <w:rPr>
          <w:lang w:bidi="en-US"/>
        </w:rPr>
        <w:t>Evren</w:t>
      </w:r>
      <w:proofErr w:type="spellEnd"/>
      <w:r w:rsidRPr="00740658">
        <w:rPr>
          <w:lang w:bidi="en-US"/>
        </w:rPr>
        <w:t xml:space="preserve">, </w:t>
      </w:r>
      <w:proofErr w:type="spellStart"/>
      <w:r w:rsidRPr="00740658">
        <w:rPr>
          <w:lang w:bidi="en-US"/>
        </w:rPr>
        <w:t>Çakmak</w:t>
      </w:r>
      <w:proofErr w:type="spellEnd"/>
      <w:r w:rsidRPr="00740658">
        <w:rPr>
          <w:lang w:bidi="en-US"/>
        </w:rPr>
        <w:t>, 2000). Psychoactive substance use is considered to be a serious public health problem today, because it affects the physical, psychological and psychosocial life of a person, harms the social and economic structure of societies and starts at an early age (</w:t>
      </w:r>
      <w:proofErr w:type="spellStart"/>
      <w:r w:rsidRPr="00740658">
        <w:rPr>
          <w:lang w:bidi="en-US"/>
        </w:rPr>
        <w:t>Qadri</w:t>
      </w:r>
      <w:proofErr w:type="spellEnd"/>
      <w:r w:rsidRPr="00740658">
        <w:rPr>
          <w:lang w:bidi="en-US"/>
        </w:rPr>
        <w:t>, 2013). Rapid industrialization, urbanization and changing forms of life have put children into the struggle of surviving and have pushed many of them into the dark world of substance abuse as a shelter (</w:t>
      </w:r>
      <w:proofErr w:type="spellStart"/>
      <w:r w:rsidRPr="00740658">
        <w:rPr>
          <w:lang w:bidi="en-US"/>
        </w:rPr>
        <w:t>Simatwa</w:t>
      </w:r>
      <w:proofErr w:type="spellEnd"/>
      <w:r w:rsidRPr="00740658">
        <w:rPr>
          <w:lang w:bidi="en-US"/>
        </w:rPr>
        <w:t>, 2014). According to recent researches, the age of psychoactive substance use has decreased and the use of these substances among adolescents increased (</w:t>
      </w:r>
      <w:proofErr w:type="spellStart"/>
      <w:r w:rsidRPr="00740658">
        <w:rPr>
          <w:lang w:bidi="en-US"/>
        </w:rPr>
        <w:t>Durandı</w:t>
      </w:r>
      <w:proofErr w:type="spellEnd"/>
      <w:r w:rsidRPr="00740658">
        <w:rPr>
          <w:lang w:bidi="en-US"/>
        </w:rPr>
        <w:t xml:space="preserve"> et al., 2013). As a consequence, prevention efforts have focused on young people which considered </w:t>
      </w:r>
      <w:proofErr w:type="gramStart"/>
      <w:r w:rsidRPr="00740658">
        <w:rPr>
          <w:lang w:bidi="en-US"/>
        </w:rPr>
        <w:t>to be</w:t>
      </w:r>
      <w:proofErr w:type="gramEnd"/>
      <w:r w:rsidRPr="00740658">
        <w:rPr>
          <w:lang w:bidi="en-US"/>
        </w:rPr>
        <w:t xml:space="preserve"> one of the most important, leading risk groups (</w:t>
      </w:r>
      <w:proofErr w:type="spellStart"/>
      <w:r w:rsidRPr="00740658">
        <w:rPr>
          <w:lang w:bidi="en-US"/>
        </w:rPr>
        <w:t>Botvin</w:t>
      </w:r>
      <w:proofErr w:type="spellEnd"/>
      <w:r w:rsidRPr="00740658">
        <w:rPr>
          <w:lang w:bidi="en-US"/>
        </w:rPr>
        <w:t xml:space="preserve">, 1995; </w:t>
      </w:r>
      <w:proofErr w:type="spellStart"/>
      <w:r w:rsidRPr="00740658">
        <w:rPr>
          <w:lang w:bidi="en-US"/>
        </w:rPr>
        <w:t>Ögel</w:t>
      </w:r>
      <w:proofErr w:type="spellEnd"/>
      <w:r w:rsidRPr="00740658">
        <w:rPr>
          <w:lang w:bidi="en-US"/>
        </w:rPr>
        <w:t xml:space="preserve">, 2002). In 2007, a study of young people in Canada, confirmed that up to %50 of the adolescents seeking substance abuse treatment has a </w:t>
      </w:r>
      <w:proofErr w:type="spellStart"/>
      <w:r w:rsidRPr="00740658">
        <w:rPr>
          <w:lang w:bidi="en-US"/>
        </w:rPr>
        <w:t>comorbid</w:t>
      </w:r>
      <w:proofErr w:type="spellEnd"/>
      <w:r w:rsidRPr="00740658">
        <w:rPr>
          <w:lang w:bidi="en-US"/>
        </w:rPr>
        <w:t xml:space="preserve"> mental health disorder, such as depression or anxiety (CCSA, 2007). According to the United Nations Office of Substance and Crime Global Youth Network (UNODC) report in 1999, the prevalence of </w:t>
      </w:r>
      <w:proofErr w:type="spellStart"/>
      <w:r w:rsidRPr="00740658">
        <w:rPr>
          <w:lang w:bidi="en-US"/>
        </w:rPr>
        <w:t>life long</w:t>
      </w:r>
      <w:proofErr w:type="spellEnd"/>
      <w:r w:rsidRPr="00740658">
        <w:rPr>
          <w:lang w:bidi="en-US"/>
        </w:rPr>
        <w:t xml:space="preserve"> cannabis use among 15-16 year old students is, 4.5% to 5% in Asia, 1% to 35% in various parts of Europe, 40.9% in USA and 42.8% in Ontario, Canada (UNODC, 2001).</w:t>
      </w:r>
    </w:p>
    <w:p w:rsidR="00740658" w:rsidRPr="00740658" w:rsidRDefault="00740658" w:rsidP="00740658">
      <w:pPr>
        <w:ind w:firstLine="708"/>
        <w:jc w:val="both"/>
      </w:pPr>
    </w:p>
    <w:p w:rsidR="00740658" w:rsidRDefault="00740658" w:rsidP="005764E3">
      <w:pPr>
        <w:ind w:firstLine="57"/>
        <w:jc w:val="both"/>
        <w:rPr>
          <w:lang w:bidi="en-US"/>
        </w:rPr>
      </w:pPr>
      <w:r w:rsidRPr="00740658">
        <w:rPr>
          <w:lang w:bidi="en-US"/>
        </w:rPr>
        <w:t>In recent years, the name of the Turkish Republic of Northern Cyprus has often comes up with the use of psychoactive substances, as the TRNC’s location is on the way of substance trafficking (Booth, 1996). TRNC is on the route of substance traffic which known as “Golden Crescent” and starts from Afghanistan, Pakistan and Iran and goes all the way to Europe.</w:t>
      </w:r>
      <w:r w:rsidRPr="00740658">
        <w:rPr>
          <w:shd w:val="clear" w:color="auto" w:fill="FFFFFF"/>
          <w:lang w:bidi="en-US"/>
        </w:rPr>
        <w:t xml:space="preserve"> </w:t>
      </w:r>
      <w:r w:rsidRPr="00740658">
        <w:rPr>
          <w:lang w:bidi="en-US"/>
        </w:rPr>
        <w:t>This road, also known as the Balkan road, reaches to Cyprus as well, while making its way to south.</w:t>
      </w:r>
      <w:r w:rsidRPr="00740658">
        <w:rPr>
          <w:shd w:val="clear" w:color="auto" w:fill="FFFFFF"/>
          <w:lang w:bidi="en-US"/>
        </w:rPr>
        <w:t xml:space="preserve"> </w:t>
      </w:r>
      <w:r w:rsidRPr="00740658">
        <w:rPr>
          <w:lang w:bidi="en-US"/>
        </w:rPr>
        <w:t>It is known that they use this route starting from Turkey and continue via Bulgaria, Romania, Hungary, Czech and Slovakian Republics (UNODC, 2012).</w:t>
      </w:r>
      <w:r w:rsidRPr="00740658">
        <w:rPr>
          <w:shd w:val="clear" w:color="auto" w:fill="FFFFFF"/>
          <w:lang w:bidi="en-US"/>
        </w:rPr>
        <w:t xml:space="preserve"> </w:t>
      </w:r>
      <w:r w:rsidRPr="00740658">
        <w:rPr>
          <w:lang w:bidi="en-US"/>
        </w:rPr>
        <w:t>It is also reported that a significant portion of the heroin reaches the UK, is also taken through Turkey and Cyprus (TUBİM, 2012).</w:t>
      </w:r>
    </w:p>
    <w:p w:rsidR="00740658" w:rsidRPr="00740658" w:rsidRDefault="00740658" w:rsidP="00740658">
      <w:pPr>
        <w:ind w:firstLine="708"/>
        <w:jc w:val="both"/>
        <w:rPr>
          <w:shd w:val="clear" w:color="auto" w:fill="FFFFFF"/>
        </w:rPr>
      </w:pPr>
    </w:p>
    <w:p w:rsidR="00740658" w:rsidRDefault="00740658" w:rsidP="005764E3">
      <w:pPr>
        <w:ind w:firstLine="57"/>
        <w:jc w:val="both"/>
        <w:rPr>
          <w:lang w:bidi="en-US"/>
        </w:rPr>
      </w:pPr>
      <w:proofErr w:type="gramStart"/>
      <w:r w:rsidRPr="00740658">
        <w:rPr>
          <w:lang w:bidi="en-US"/>
        </w:rPr>
        <w:t>Researches on understanding the meaning of substance use in the TRNC has</w:t>
      </w:r>
      <w:proofErr w:type="gramEnd"/>
      <w:r w:rsidRPr="00740658">
        <w:rPr>
          <w:lang w:bidi="en-US"/>
        </w:rPr>
        <w:t xml:space="preserve"> gained momentum in recent years, as is around the globe.</w:t>
      </w:r>
      <w:r w:rsidRPr="00740658">
        <w:rPr>
          <w:shd w:val="clear" w:color="auto" w:fill="FFFFFF"/>
          <w:lang w:bidi="en-US"/>
        </w:rPr>
        <w:t xml:space="preserve"> </w:t>
      </w:r>
      <w:r w:rsidRPr="00740658">
        <w:rPr>
          <w:lang w:bidi="en-US"/>
        </w:rPr>
        <w:t>Recently, researches in the TRNC have shown a tendency to increase in substance abuse and exploitation (</w:t>
      </w:r>
      <w:proofErr w:type="spellStart"/>
      <w:r w:rsidRPr="00740658">
        <w:rPr>
          <w:lang w:bidi="en-US"/>
        </w:rPr>
        <w:t>Çakıcı</w:t>
      </w:r>
      <w:proofErr w:type="spellEnd"/>
      <w:r w:rsidRPr="00740658">
        <w:rPr>
          <w:lang w:bidi="en-US"/>
        </w:rPr>
        <w:t xml:space="preserve">, </w:t>
      </w:r>
      <w:proofErr w:type="spellStart"/>
      <w:r w:rsidRPr="00740658">
        <w:rPr>
          <w:lang w:bidi="en-US"/>
        </w:rPr>
        <w:t>Karaokçu</w:t>
      </w:r>
      <w:proofErr w:type="spellEnd"/>
      <w:r w:rsidRPr="00740658">
        <w:rPr>
          <w:lang w:bidi="en-US"/>
        </w:rPr>
        <w:t xml:space="preserve"> and </w:t>
      </w:r>
      <w:proofErr w:type="spellStart"/>
      <w:r w:rsidRPr="00740658">
        <w:rPr>
          <w:lang w:bidi="en-US"/>
        </w:rPr>
        <w:t>Çamlıköylü</w:t>
      </w:r>
      <w:proofErr w:type="spellEnd"/>
      <w:r w:rsidRPr="00740658">
        <w:rPr>
          <w:lang w:bidi="en-US"/>
        </w:rPr>
        <w:t>, 2006, EMU-PDRAM, 2015).</w:t>
      </w:r>
    </w:p>
    <w:p w:rsidR="00740658" w:rsidRPr="00740658" w:rsidRDefault="00740658" w:rsidP="00740658">
      <w:pPr>
        <w:ind w:firstLine="708"/>
        <w:jc w:val="both"/>
      </w:pPr>
    </w:p>
    <w:p w:rsidR="00740658" w:rsidRDefault="00740658" w:rsidP="005764E3">
      <w:pPr>
        <w:ind w:firstLine="57"/>
        <w:jc w:val="both"/>
        <w:rPr>
          <w:lang w:bidi="en-US"/>
        </w:rPr>
      </w:pPr>
      <w:r w:rsidRPr="00740658">
        <w:rPr>
          <w:lang w:bidi="en-US"/>
        </w:rPr>
        <w:t>The first study on the subject in Northern Cyprus was done with 2215 high school second year students in 1996, showed that 47.2% of them tried cigarettes, 80% of them tried alcohol and 5.5% had tried at least one other psychoactive substance in their lifetime (</w:t>
      </w:r>
      <w:proofErr w:type="spellStart"/>
      <w:r w:rsidRPr="00740658">
        <w:rPr>
          <w:lang w:bidi="en-US"/>
        </w:rPr>
        <w:t>Çakıcı</w:t>
      </w:r>
      <w:proofErr w:type="spellEnd"/>
      <w:r w:rsidRPr="00740658">
        <w:rPr>
          <w:lang w:bidi="en-US"/>
        </w:rPr>
        <w:t xml:space="preserve"> et al., 1996). In 1999, the same study was repeated with 641 high school second year students who represent the same population and the results showed that 40.6% of tried smoking, 79.7% of them used alcohol and 8.3% of them used other psychoactive substances (</w:t>
      </w:r>
      <w:proofErr w:type="spellStart"/>
      <w:r w:rsidRPr="00740658">
        <w:rPr>
          <w:lang w:bidi="en-US"/>
        </w:rPr>
        <w:t>Çakıcı</w:t>
      </w:r>
      <w:proofErr w:type="spellEnd"/>
      <w:r w:rsidRPr="00740658">
        <w:rPr>
          <w:lang w:bidi="en-US"/>
        </w:rPr>
        <w:t xml:space="preserve"> et al., 1999). In a survey conducted on young people aged 15-16 years in the TRNC, among the second year high school students the prevalence of smoking was 32.2%, the frequency of alcohol use was 85.9%, the frequency of other psychoactive substance abuse was 8%, volatile substance abuse was 3.3%, hypnotic drug use was 2.4%, cannabis was 2.2%, ecstasy was 1.8%, cocaine was 0.7% and heroin was 0.6% (</w:t>
      </w:r>
      <w:proofErr w:type="spellStart"/>
      <w:r w:rsidRPr="00740658">
        <w:rPr>
          <w:lang w:bidi="en-US"/>
        </w:rPr>
        <w:t>Çakıcı</w:t>
      </w:r>
      <w:proofErr w:type="spellEnd"/>
      <w:r w:rsidRPr="00740658">
        <w:rPr>
          <w:lang w:bidi="en-US"/>
        </w:rPr>
        <w:t xml:space="preserve">, </w:t>
      </w:r>
      <w:proofErr w:type="spellStart"/>
      <w:r w:rsidRPr="00740658">
        <w:rPr>
          <w:lang w:bidi="en-US"/>
        </w:rPr>
        <w:t>Çakıcı</w:t>
      </w:r>
      <w:proofErr w:type="spellEnd"/>
      <w:r w:rsidRPr="00740658">
        <w:rPr>
          <w:lang w:bidi="en-US"/>
        </w:rPr>
        <w:t xml:space="preserve"> and </w:t>
      </w:r>
      <w:proofErr w:type="spellStart"/>
      <w:r w:rsidRPr="00740658">
        <w:rPr>
          <w:lang w:bidi="en-US"/>
        </w:rPr>
        <w:t>Eş</w:t>
      </w:r>
      <w:proofErr w:type="spellEnd"/>
      <w:r w:rsidRPr="00740658">
        <w:rPr>
          <w:lang w:bidi="en-US"/>
        </w:rPr>
        <w:t>, 2010). A survey conducted with 34 high schools and 2114 high school second year students in TRNC in 2011 showed that; the smoking prevalence was 6.8%, alcohol consumption was 75.6% and prevalence of other psychoactive substances usage was 10.0% (</w:t>
      </w:r>
      <w:proofErr w:type="spellStart"/>
      <w:r w:rsidRPr="00740658">
        <w:rPr>
          <w:lang w:bidi="en-US"/>
        </w:rPr>
        <w:t>Eş</w:t>
      </w:r>
      <w:proofErr w:type="spellEnd"/>
      <w:r w:rsidRPr="00740658">
        <w:rPr>
          <w:lang w:bidi="en-US"/>
        </w:rPr>
        <w:t>, 2015). In 2015, a study with 2236 students showed that, 31% of them smoked, 69.7% of them used alcohol, 5.6% of them used DPM in their lifetime and compared to the high school study in 2011; smoking was increased while alcohol and DPM use was decreased (</w:t>
      </w:r>
      <w:proofErr w:type="spellStart"/>
      <w:r w:rsidRPr="00740658">
        <w:rPr>
          <w:lang w:bidi="en-US"/>
        </w:rPr>
        <w:t>Çakıcı</w:t>
      </w:r>
      <w:proofErr w:type="spellEnd"/>
      <w:r w:rsidRPr="00740658">
        <w:rPr>
          <w:lang w:bidi="en-US"/>
        </w:rPr>
        <w:t xml:space="preserve"> et al. 2015). According to the first research on the 5th grade students in primary school in TRNC in 2015, 10.9% of students tried smoking at least once in their lifetime, 23.5% of them used alcohol and 1.2% of them used DPM.  The fact that the Turkish Republic of Northern Cyprus is a country in a small island and that psychoactive substances are easily accessible makes it possible for new substances to spread rapidly (</w:t>
      </w:r>
      <w:proofErr w:type="spellStart"/>
      <w:r w:rsidRPr="00740658">
        <w:rPr>
          <w:lang w:bidi="en-US"/>
        </w:rPr>
        <w:t>Çakıcı</w:t>
      </w:r>
      <w:proofErr w:type="spellEnd"/>
      <w:r w:rsidRPr="00740658">
        <w:rPr>
          <w:lang w:bidi="en-US"/>
        </w:rPr>
        <w:t>, 2000).</w:t>
      </w:r>
    </w:p>
    <w:p w:rsidR="00740658" w:rsidRPr="00740658" w:rsidRDefault="00740658" w:rsidP="00740658">
      <w:pPr>
        <w:ind w:firstLine="708"/>
        <w:jc w:val="both"/>
      </w:pPr>
    </w:p>
    <w:p w:rsidR="00740658" w:rsidRDefault="00740658" w:rsidP="005764E3">
      <w:pPr>
        <w:ind w:firstLine="57"/>
        <w:jc w:val="both"/>
        <w:rPr>
          <w:lang w:bidi="en-US"/>
        </w:rPr>
      </w:pPr>
      <w:r w:rsidRPr="00740658">
        <w:rPr>
          <w:lang w:bidi="en-US"/>
        </w:rPr>
        <w:t>As of now, there is only one research in the TRNC that involves middle school students aged 13-14 (</w:t>
      </w:r>
      <w:proofErr w:type="spellStart"/>
      <w:r w:rsidRPr="00740658">
        <w:rPr>
          <w:lang w:bidi="en-US"/>
        </w:rPr>
        <w:t>Çakıcı</w:t>
      </w:r>
      <w:proofErr w:type="spellEnd"/>
      <w:r w:rsidRPr="00740658">
        <w:rPr>
          <w:lang w:bidi="en-US"/>
        </w:rPr>
        <w:t xml:space="preserve"> et al., 2001). In the survey conducted with middle school third graders, the prevalence of smoking was reported as 19%, the prevalence of alcohol was 61.9% and the other psychoactive substance rate was 5.8% (</w:t>
      </w:r>
      <w:proofErr w:type="spellStart"/>
      <w:r w:rsidRPr="00740658">
        <w:rPr>
          <w:lang w:bidi="en-US"/>
        </w:rPr>
        <w:t>Çakıcı</w:t>
      </w:r>
      <w:proofErr w:type="spellEnd"/>
      <w:r w:rsidRPr="00740658">
        <w:rPr>
          <w:lang w:bidi="en-US"/>
        </w:rPr>
        <w:t xml:space="preserve">, </w:t>
      </w:r>
      <w:proofErr w:type="spellStart"/>
      <w:r w:rsidRPr="00740658">
        <w:rPr>
          <w:lang w:bidi="en-US"/>
        </w:rPr>
        <w:t>Çakıcı</w:t>
      </w:r>
      <w:proofErr w:type="spellEnd"/>
      <w:r w:rsidRPr="00740658">
        <w:rPr>
          <w:lang w:bidi="en-US"/>
        </w:rPr>
        <w:t xml:space="preserve"> and </w:t>
      </w:r>
      <w:proofErr w:type="spellStart"/>
      <w:r w:rsidRPr="00740658">
        <w:rPr>
          <w:lang w:bidi="en-US"/>
        </w:rPr>
        <w:t>Subaşı</w:t>
      </w:r>
      <w:proofErr w:type="spellEnd"/>
      <w:r w:rsidRPr="00740658">
        <w:rPr>
          <w:lang w:bidi="en-US"/>
        </w:rPr>
        <w:t xml:space="preserve">, 2001). </w:t>
      </w:r>
    </w:p>
    <w:p w:rsidR="00740658" w:rsidRPr="00740658" w:rsidRDefault="00740658" w:rsidP="00740658">
      <w:pPr>
        <w:ind w:firstLine="708"/>
        <w:jc w:val="both"/>
      </w:pPr>
    </w:p>
    <w:p w:rsidR="00740658" w:rsidRDefault="00740658" w:rsidP="005764E3">
      <w:pPr>
        <w:ind w:firstLine="57"/>
        <w:jc w:val="both"/>
      </w:pPr>
      <w:r w:rsidRPr="00740658">
        <w:rPr>
          <w:lang w:bidi="en-US"/>
        </w:rPr>
        <w:t xml:space="preserve">This study is the follow-up study of the work done in 1999. In the light of previous findings, the aim of this research is to investigate the prevalence and risk factors of cigarettes, alcohol and other psychoactive substances in middle schools in the Turkish Republic of Northern Cyprus and also to find out the changes in rates compared to previous </w:t>
      </w:r>
      <w:r w:rsidRPr="00740658">
        <w:rPr>
          <w:lang w:bidi="en-US"/>
        </w:rPr>
        <w:lastRenderedPageBreak/>
        <w:t>years. With the help of the data which obtained from these studies; it will be possible to develop up-to-date preventive programs and public health policies.</w:t>
      </w:r>
    </w:p>
    <w:p w:rsidR="009B14B2" w:rsidRDefault="00740658" w:rsidP="009B14B2">
      <w:pPr>
        <w:pStyle w:val="Els-1storder-head"/>
        <w:ind w:hanging="120"/>
        <w:rPr>
          <w:rFonts w:ascii="Arial-Black" w:hAnsi="Arial-Black" w:cs="Arial-Black"/>
          <w:lang w:val="tr-TR" w:eastAsia="tr-TR"/>
        </w:rPr>
      </w:pPr>
      <w:r>
        <w:rPr>
          <w:rFonts w:ascii="Arial-Black" w:hAnsi="Arial-Black" w:cs="Arial-Black"/>
          <w:lang w:val="tr-TR" w:eastAsia="tr-TR"/>
        </w:rPr>
        <w:t>Method</w:t>
      </w:r>
    </w:p>
    <w:p w:rsidR="005764E3" w:rsidRDefault="00740658" w:rsidP="005764E3">
      <w:pPr>
        <w:pStyle w:val="Els-2ndorder-head"/>
        <w:spacing w:before="0" w:after="0" w:line="240" w:lineRule="auto"/>
        <w:rPr>
          <w:lang w:bidi="en-US"/>
        </w:rPr>
      </w:pPr>
      <w:r w:rsidRPr="00740658">
        <w:rPr>
          <w:lang w:bidi="en-US"/>
        </w:rPr>
        <w:t>Participants</w:t>
      </w:r>
    </w:p>
    <w:p w:rsidR="005764E3" w:rsidRDefault="005764E3" w:rsidP="005764E3">
      <w:pPr>
        <w:pStyle w:val="Els-2ndorder-head"/>
        <w:numPr>
          <w:ilvl w:val="0"/>
          <w:numId w:val="0"/>
        </w:numPr>
        <w:spacing w:before="0" w:after="0" w:line="240" w:lineRule="auto"/>
        <w:rPr>
          <w:lang w:bidi="en-US"/>
        </w:rPr>
      </w:pPr>
    </w:p>
    <w:p w:rsidR="00740658" w:rsidRPr="005764E3" w:rsidRDefault="005764E3" w:rsidP="005764E3">
      <w:pPr>
        <w:pStyle w:val="Els-2ndorder-head"/>
        <w:numPr>
          <w:ilvl w:val="0"/>
          <w:numId w:val="0"/>
        </w:numPr>
        <w:spacing w:before="0" w:after="0" w:line="240" w:lineRule="auto"/>
        <w:jc w:val="both"/>
        <w:rPr>
          <w:i w:val="0"/>
          <w:lang w:bidi="en-US"/>
        </w:rPr>
      </w:pPr>
      <w:r>
        <w:rPr>
          <w:i w:val="0"/>
          <w:lang w:bidi="en-US"/>
        </w:rPr>
        <w:t xml:space="preserve">  </w:t>
      </w:r>
      <w:r w:rsidR="00740658" w:rsidRPr="005764E3">
        <w:rPr>
          <w:i w:val="0"/>
          <w:lang w:bidi="en-US"/>
        </w:rPr>
        <w:t xml:space="preserve">Study’s questionnaires were evaluated by the Ministry of National Education and the Turkish Education Board, and the written approval was obtained as a result of the examination. The study was conducted in March 2015, in all state secondary schools and private colleges affiliated to the General Directorate of Secondary Education and Vocational Technical Education in the TRNC under the Ministry of National Education and Culture. In the academic year 2014-2015, there were a total of 31 secondary schools affiliated to TRNC General High School. A total of 10148 children were students at these middle schools. The plan was to include 1564 students who were detected by stratified sampling method in this study. </w:t>
      </w:r>
    </w:p>
    <w:p w:rsidR="00740658" w:rsidRPr="00740658" w:rsidRDefault="00740658" w:rsidP="00740658">
      <w:pPr>
        <w:ind w:firstLine="708"/>
        <w:jc w:val="both"/>
      </w:pPr>
    </w:p>
    <w:p w:rsidR="00740658" w:rsidRDefault="00740658" w:rsidP="00740658">
      <w:pPr>
        <w:pStyle w:val="Els-2ndorder-head"/>
        <w:spacing w:before="0" w:after="0" w:line="240" w:lineRule="auto"/>
        <w:rPr>
          <w:lang w:bidi="en-US"/>
        </w:rPr>
      </w:pPr>
      <w:r w:rsidRPr="00740658">
        <w:rPr>
          <w:lang w:bidi="en-US"/>
        </w:rPr>
        <w:t>Instruments</w:t>
      </w:r>
    </w:p>
    <w:p w:rsidR="00740658" w:rsidRPr="00740658" w:rsidRDefault="00740658" w:rsidP="00740658">
      <w:pPr>
        <w:pStyle w:val="Els-body-text"/>
        <w:rPr>
          <w:lang w:bidi="en-US"/>
        </w:rPr>
      </w:pPr>
    </w:p>
    <w:p w:rsidR="00740658" w:rsidRDefault="005764E3" w:rsidP="005764E3">
      <w:pPr>
        <w:jc w:val="both"/>
        <w:rPr>
          <w:lang w:bidi="en-US"/>
        </w:rPr>
      </w:pPr>
      <w:r>
        <w:rPr>
          <w:lang w:bidi="en-US"/>
        </w:rPr>
        <w:t xml:space="preserve">  </w:t>
      </w:r>
      <w:r w:rsidR="00740658" w:rsidRPr="00740658">
        <w:rPr>
          <w:lang w:bidi="en-US"/>
        </w:rPr>
        <w:t xml:space="preserve">The survey form used in the research was the same form used in 1996, 1999 and 2001 high school prevalence studies. </w:t>
      </w:r>
      <w:proofErr w:type="gramStart"/>
      <w:r w:rsidR="00740658" w:rsidRPr="00740658">
        <w:rPr>
          <w:lang w:bidi="en-US"/>
        </w:rPr>
        <w:t xml:space="preserve">The survey which was given to the students; contained questions about </w:t>
      </w:r>
      <w:proofErr w:type="spellStart"/>
      <w:r w:rsidR="00740658" w:rsidRPr="00740658">
        <w:rPr>
          <w:lang w:bidi="en-US"/>
        </w:rPr>
        <w:t>sociodemographic</w:t>
      </w:r>
      <w:proofErr w:type="spellEnd"/>
      <w:r w:rsidR="00740658" w:rsidRPr="00740658">
        <w:rPr>
          <w:lang w:bidi="en-US"/>
        </w:rPr>
        <w:t xml:space="preserve"> characteristics, smoking, alcohol and psychoactive substance use.</w:t>
      </w:r>
      <w:proofErr w:type="gramEnd"/>
      <w:r w:rsidR="00740658" w:rsidRPr="00740658">
        <w:rPr>
          <w:lang w:bidi="en-US"/>
        </w:rPr>
        <w:t xml:space="preserve"> The section on cigarette, alcohol and other psychoactive substances in the survey was based on the questions of the European Schools Research Project (ESPAD) Alcohol and Other Matters (</w:t>
      </w:r>
      <w:proofErr w:type="spellStart"/>
      <w:r w:rsidR="00740658" w:rsidRPr="00740658">
        <w:rPr>
          <w:lang w:bidi="en-US"/>
        </w:rPr>
        <w:t>Hibbel</w:t>
      </w:r>
      <w:proofErr w:type="spellEnd"/>
      <w:r w:rsidR="00740658" w:rsidRPr="00740658">
        <w:rPr>
          <w:lang w:bidi="en-US"/>
        </w:rPr>
        <w:t xml:space="preserve"> et al., 1995, </w:t>
      </w:r>
      <w:proofErr w:type="spellStart"/>
      <w:r w:rsidR="00740658" w:rsidRPr="00740658">
        <w:rPr>
          <w:lang w:bidi="en-US"/>
        </w:rPr>
        <w:t>Hibbel</w:t>
      </w:r>
      <w:proofErr w:type="spellEnd"/>
      <w:r w:rsidR="00740658" w:rsidRPr="00740658">
        <w:rPr>
          <w:lang w:bidi="en-US"/>
        </w:rPr>
        <w:t xml:space="preserve"> et al. 1998). Questions about </w:t>
      </w:r>
      <w:proofErr w:type="spellStart"/>
      <w:r w:rsidR="00740658" w:rsidRPr="00740658">
        <w:rPr>
          <w:lang w:bidi="en-US"/>
        </w:rPr>
        <w:t>sociodemographic</w:t>
      </w:r>
      <w:proofErr w:type="spellEnd"/>
      <w:r w:rsidR="00740658" w:rsidRPr="00740658">
        <w:rPr>
          <w:lang w:bidi="en-US"/>
        </w:rPr>
        <w:t xml:space="preserve"> data were prepared by the researchers. The survey was prepared to be filled by the students themselves. </w:t>
      </w:r>
    </w:p>
    <w:p w:rsidR="00740658" w:rsidRPr="00740658" w:rsidRDefault="00740658" w:rsidP="00740658">
      <w:pPr>
        <w:ind w:firstLine="708"/>
        <w:jc w:val="both"/>
      </w:pPr>
    </w:p>
    <w:p w:rsidR="00740658" w:rsidRDefault="00740658" w:rsidP="00740658">
      <w:pPr>
        <w:pStyle w:val="Els-2ndorder-head"/>
        <w:spacing w:before="0" w:after="0" w:line="240" w:lineRule="auto"/>
        <w:rPr>
          <w:lang w:bidi="en-US"/>
        </w:rPr>
      </w:pPr>
      <w:r w:rsidRPr="00740658">
        <w:rPr>
          <w:lang w:bidi="en-US"/>
        </w:rPr>
        <w:t>Data Collection</w:t>
      </w:r>
    </w:p>
    <w:p w:rsidR="00740658" w:rsidRPr="00740658" w:rsidRDefault="00740658" w:rsidP="00740658">
      <w:pPr>
        <w:pStyle w:val="Els-body-text"/>
        <w:rPr>
          <w:lang w:bidi="en-US"/>
        </w:rPr>
      </w:pPr>
    </w:p>
    <w:p w:rsidR="00740658" w:rsidRPr="00740658" w:rsidRDefault="005764E3" w:rsidP="005764E3">
      <w:pPr>
        <w:jc w:val="both"/>
        <w:rPr>
          <w:lang w:bidi="en-US"/>
        </w:rPr>
      </w:pPr>
      <w:r>
        <w:rPr>
          <w:lang w:bidi="en-US"/>
        </w:rPr>
        <w:t xml:space="preserve">  </w:t>
      </w:r>
      <w:r w:rsidR="00740658" w:rsidRPr="00740658">
        <w:rPr>
          <w:lang w:bidi="en-US"/>
        </w:rPr>
        <w:t xml:space="preserve">The data collection phase of the study was carried out by a team of authors and professors and students of the Psychology Department of the Near East University. Before the survey, the interviewers were informed about the form in detail. Each class was informed by the authors about the study topic beforehand. Students were informed that this research </w:t>
      </w:r>
      <w:proofErr w:type="gramStart"/>
      <w:r w:rsidR="00740658" w:rsidRPr="00740658">
        <w:rPr>
          <w:lang w:bidi="en-US"/>
        </w:rPr>
        <w:t>is  purely</w:t>
      </w:r>
      <w:proofErr w:type="gramEnd"/>
      <w:r w:rsidR="00740658" w:rsidRPr="00740658">
        <w:rPr>
          <w:lang w:bidi="en-US"/>
        </w:rPr>
        <w:t xml:space="preserve"> scientific work and that the answers will be confidential. Upon entering the classes, the teachers who were in the class were asked to leave and the students were allowed to fill the form with only the interviewers present; and they were solely helping the students when necessary. </w:t>
      </w:r>
    </w:p>
    <w:p w:rsidR="00740658" w:rsidRPr="00740658" w:rsidRDefault="00740658" w:rsidP="00740658">
      <w:pPr>
        <w:jc w:val="both"/>
        <w:rPr>
          <w:b/>
          <w:lang w:bidi="en-US"/>
        </w:rPr>
      </w:pPr>
    </w:p>
    <w:p w:rsidR="00740658" w:rsidRDefault="00740658" w:rsidP="00740658">
      <w:pPr>
        <w:pStyle w:val="Els-2ndorder-head"/>
        <w:spacing w:before="0" w:after="0" w:line="240" w:lineRule="auto"/>
        <w:rPr>
          <w:lang w:bidi="en-US"/>
        </w:rPr>
      </w:pPr>
      <w:r w:rsidRPr="00740658">
        <w:rPr>
          <w:lang w:bidi="en-US"/>
        </w:rPr>
        <w:t>Analysis of Data</w:t>
      </w:r>
    </w:p>
    <w:p w:rsidR="00740658" w:rsidRPr="00740658" w:rsidRDefault="00740658" w:rsidP="00740658">
      <w:pPr>
        <w:pStyle w:val="Els-body-text"/>
        <w:rPr>
          <w:lang w:bidi="en-US"/>
        </w:rPr>
      </w:pPr>
    </w:p>
    <w:p w:rsidR="00740658" w:rsidRPr="00740658" w:rsidRDefault="005764E3" w:rsidP="005764E3">
      <w:pPr>
        <w:jc w:val="both"/>
        <w:rPr>
          <w:color w:val="000000" w:themeColor="text1"/>
        </w:rPr>
      </w:pPr>
      <w:r>
        <w:rPr>
          <w:lang w:bidi="en-US"/>
        </w:rPr>
        <w:t xml:space="preserve">  </w:t>
      </w:r>
      <w:r w:rsidR="00740658" w:rsidRPr="00740658">
        <w:rPr>
          <w:lang w:bidi="en-US"/>
        </w:rPr>
        <w:t>The data obtained in the study were analyzed by a computer using Statistical Package for Social Science (SPSS) 21 software package program. Descriptive statistical methods were used in the study and chi-square (x</w:t>
      </w:r>
      <w:r w:rsidR="00740658" w:rsidRPr="00740658">
        <w:rPr>
          <w:vertAlign w:val="superscript"/>
          <w:lang w:bidi="en-US"/>
        </w:rPr>
        <w:t>2</w:t>
      </w:r>
      <w:r w:rsidR="00740658" w:rsidRPr="00740658">
        <w:rPr>
          <w:lang w:bidi="en-US"/>
        </w:rPr>
        <w:t>) statistical method was used in user-nonuser comparison of socio-demographic characteristics. Logistic regression analysis was used to determine the relationship between risk factors such as gender, age, place of birth, living with, education, religion, smoking and alcohol use and being drunk (independent variables) and illicit drug use (dependent variables).</w:t>
      </w:r>
    </w:p>
    <w:p w:rsidR="009B14B2" w:rsidRPr="00740658" w:rsidRDefault="00740658" w:rsidP="00740658">
      <w:pPr>
        <w:pStyle w:val="Els-1storder-head"/>
        <w:ind w:hanging="120"/>
        <w:rPr>
          <w:rFonts w:ascii="Arial-Black" w:hAnsi="Arial-Black" w:cs="Arial-Black"/>
          <w:lang w:val="tr-TR" w:eastAsia="tr-TR"/>
        </w:rPr>
      </w:pPr>
      <w:r>
        <w:rPr>
          <w:rFonts w:ascii="Arial-Black" w:hAnsi="Arial-Black" w:cs="Arial-Black"/>
          <w:lang w:val="tr-TR" w:eastAsia="tr-TR"/>
        </w:rPr>
        <w:t>Results</w:t>
      </w:r>
    </w:p>
    <w:p w:rsidR="00740658" w:rsidRPr="00740658" w:rsidRDefault="00740658" w:rsidP="005764E3">
      <w:pPr>
        <w:ind w:firstLine="120"/>
        <w:jc w:val="both"/>
      </w:pPr>
      <w:r w:rsidRPr="00740658">
        <w:rPr>
          <w:lang w:bidi="en-US"/>
        </w:rPr>
        <w:t xml:space="preserve">This study was conducted in March 2015 in all public secondary schools and private colleges affiliated to the General Directorate of Secondary Education and Vocational Teaching </w:t>
      </w:r>
      <w:proofErr w:type="spellStart"/>
      <w:r w:rsidRPr="00740658">
        <w:rPr>
          <w:lang w:bidi="en-US"/>
        </w:rPr>
        <w:t>Teaching</w:t>
      </w:r>
      <w:proofErr w:type="spellEnd"/>
      <w:r w:rsidRPr="00740658">
        <w:rPr>
          <w:lang w:bidi="en-US"/>
        </w:rPr>
        <w:t xml:space="preserve"> in the TRNC under the Ministry of National Education and Culture. In the academic year 2014-2015, there were a total of 31 secondary schools in the TRNC General Secondary School. A total of 10148 children were students at these middle schools. 1564 students who were detected by stratified sampling method were included in this study. 737 of the students (49.6%) were female and 750 (50.4%) of them were male students. The average </w:t>
      </w:r>
      <w:proofErr w:type="gramStart"/>
      <w:r w:rsidRPr="00740658">
        <w:rPr>
          <w:lang w:bidi="en-US"/>
        </w:rPr>
        <w:t>age of the students were</w:t>
      </w:r>
      <w:proofErr w:type="gramEnd"/>
      <w:r w:rsidRPr="00740658">
        <w:rPr>
          <w:lang w:bidi="en-US"/>
        </w:rPr>
        <w:t xml:space="preserve"> 13.31 ± 1.12. 883 (60%) of the students were citizens of the TRNC, 420 (28.6%) of them were from Turkey and 168 (11.4%) of them were citizens of other countries. 490 (33%) of them were grade 6 students, 467 (31.4%) of them were 7th grade students and 526 (35.4%) of them were 8th grade students.</w:t>
      </w:r>
    </w:p>
    <w:p w:rsidR="005764E3" w:rsidRDefault="005764E3" w:rsidP="005764E3">
      <w:pPr>
        <w:ind w:firstLine="120"/>
        <w:jc w:val="both"/>
        <w:rPr>
          <w:lang w:bidi="en-US"/>
        </w:rPr>
      </w:pPr>
    </w:p>
    <w:p w:rsidR="005764E3" w:rsidRDefault="00740658" w:rsidP="005764E3">
      <w:pPr>
        <w:ind w:firstLine="120"/>
        <w:jc w:val="both"/>
        <w:rPr>
          <w:lang w:bidi="en-US"/>
        </w:rPr>
      </w:pPr>
      <w:r w:rsidRPr="00740658">
        <w:rPr>
          <w:lang w:bidi="en-US"/>
        </w:rPr>
        <w:t xml:space="preserve">This study showed that, 5.7% of the students tried smoking at least once in their life time. 6.4% of the females and 4.9% of the males smoked at least once. There was no statistically significant difference in the rates of smoking between male and female students. The rate of students smoking at least once in the last </w:t>
      </w:r>
      <w:proofErr w:type="gramStart"/>
      <w:r w:rsidRPr="00740658">
        <w:rPr>
          <w:lang w:bidi="en-US"/>
        </w:rPr>
        <w:t>year,</w:t>
      </w:r>
      <w:proofErr w:type="gramEnd"/>
      <w:r w:rsidRPr="00740658">
        <w:rPr>
          <w:lang w:bidi="en-US"/>
        </w:rPr>
        <w:t xml:space="preserve"> was 2.5%. 2</w:t>
      </w:r>
      <w:proofErr w:type="gramStart"/>
      <w:r w:rsidRPr="00740658">
        <w:rPr>
          <w:lang w:bidi="en-US"/>
        </w:rPr>
        <w:t>,9</w:t>
      </w:r>
      <w:proofErr w:type="gramEnd"/>
      <w:r w:rsidRPr="00740658">
        <w:rPr>
          <w:lang w:bidi="en-US"/>
        </w:rPr>
        <w:t xml:space="preserve">% of the </w:t>
      </w:r>
      <w:r w:rsidRPr="00740658">
        <w:rPr>
          <w:lang w:bidi="en-US"/>
        </w:rPr>
        <w:lastRenderedPageBreak/>
        <w:t xml:space="preserve">females and 2,1% of the males have smoked at least once in the last year. The rate of students smoking at least once in the last 30 </w:t>
      </w:r>
      <w:proofErr w:type="gramStart"/>
      <w:r w:rsidRPr="00740658">
        <w:rPr>
          <w:lang w:bidi="en-US"/>
        </w:rPr>
        <w:t>days,</w:t>
      </w:r>
      <w:proofErr w:type="gramEnd"/>
      <w:r w:rsidRPr="00740658">
        <w:rPr>
          <w:lang w:bidi="en-US"/>
        </w:rPr>
        <w:t xml:space="preserve"> was 1.1%. 1</w:t>
      </w:r>
      <w:proofErr w:type="gramStart"/>
      <w:r w:rsidRPr="00740658">
        <w:rPr>
          <w:lang w:bidi="en-US"/>
        </w:rPr>
        <w:t>,4</w:t>
      </w:r>
      <w:proofErr w:type="gramEnd"/>
      <w:r w:rsidRPr="00740658">
        <w:rPr>
          <w:lang w:bidi="en-US"/>
        </w:rPr>
        <w:t>% of the females and 0.7% of the males have smoked at least once in the last 30 days. 63.2% of the students smoke to have fun. 59.2% of the girls and 67% of the men smoke to have fun. No statistically significant difference was found when male and female students were compared by the reasons of smoking.</w:t>
      </w:r>
    </w:p>
    <w:p w:rsidR="005764E3" w:rsidRDefault="005764E3" w:rsidP="005764E3">
      <w:pPr>
        <w:ind w:firstLine="120"/>
        <w:jc w:val="both"/>
      </w:pPr>
    </w:p>
    <w:p w:rsidR="005764E3" w:rsidRDefault="00740658" w:rsidP="005764E3">
      <w:pPr>
        <w:ind w:firstLine="120"/>
        <w:jc w:val="both"/>
        <w:rPr>
          <w:lang w:bidi="en-US"/>
        </w:rPr>
      </w:pPr>
      <w:r w:rsidRPr="00740658">
        <w:rPr>
          <w:lang w:bidi="en-US"/>
        </w:rPr>
        <w:t>The rate of students using alcohol at least once in their lives was 16.2%. 16.2% of the females and 16.1% of the males tried alcohol at least once in their lifetime. The rate of students using alcohol at least once in the last year was 14.5%. 15</w:t>
      </w:r>
      <w:proofErr w:type="gramStart"/>
      <w:r w:rsidRPr="00740658">
        <w:rPr>
          <w:lang w:bidi="en-US"/>
        </w:rPr>
        <w:t>,6</w:t>
      </w:r>
      <w:proofErr w:type="gramEnd"/>
      <w:r w:rsidRPr="00740658">
        <w:rPr>
          <w:lang w:bidi="en-US"/>
        </w:rPr>
        <w:t>% of the females and 13,5% of the males have used alcohol at least once in the last year. The frequency of students using alcohol at least once in the last 30 days was 4.4%. 5.9% of the females and 6.9% of the males drank alcoholic beverages at least once in the last 30 days. 98% of the students have never been drunk during their lifetime. 6</w:t>
      </w:r>
      <w:proofErr w:type="gramStart"/>
      <w:r w:rsidRPr="00740658">
        <w:rPr>
          <w:lang w:bidi="en-US"/>
        </w:rPr>
        <w:t>,1</w:t>
      </w:r>
      <w:proofErr w:type="gramEnd"/>
      <w:r w:rsidRPr="00740658">
        <w:rPr>
          <w:lang w:bidi="en-US"/>
        </w:rPr>
        <w:t xml:space="preserve">% of the females and 7,2% of the males become drunk at least 1-2 times. 0.1% of the females and 0.8% of the males become </w:t>
      </w:r>
      <w:proofErr w:type="gramStart"/>
      <w:r w:rsidRPr="00740658">
        <w:rPr>
          <w:lang w:bidi="en-US"/>
        </w:rPr>
        <w:t>drunk</w:t>
      </w:r>
      <w:proofErr w:type="gramEnd"/>
      <w:r w:rsidRPr="00740658">
        <w:rPr>
          <w:lang w:bidi="en-US"/>
        </w:rPr>
        <w:t xml:space="preserve"> 40 or more times. 0</w:t>
      </w:r>
      <w:proofErr w:type="gramStart"/>
      <w:r w:rsidRPr="00740658">
        <w:rPr>
          <w:lang w:bidi="en-US"/>
        </w:rPr>
        <w:t>,5</w:t>
      </w:r>
      <w:proofErr w:type="gramEnd"/>
      <w:r w:rsidRPr="00740658">
        <w:rPr>
          <w:lang w:bidi="en-US"/>
        </w:rPr>
        <w:t xml:space="preserve">% of the females and 0.9% of the males used alcohol twice in the last 30 days. 39.6% of the females and 34.7% of the males use alcoholic beverages to have fun.  </w:t>
      </w:r>
    </w:p>
    <w:p w:rsidR="005764E3" w:rsidRDefault="005764E3" w:rsidP="005764E3">
      <w:pPr>
        <w:ind w:firstLine="120"/>
        <w:jc w:val="both"/>
      </w:pPr>
    </w:p>
    <w:p w:rsidR="005764E3" w:rsidRDefault="00740658" w:rsidP="005764E3">
      <w:pPr>
        <w:ind w:firstLine="120"/>
        <w:jc w:val="both"/>
        <w:rPr>
          <w:lang w:bidi="en-US"/>
        </w:rPr>
      </w:pPr>
      <w:r w:rsidRPr="00740658">
        <w:rPr>
          <w:lang w:bidi="en-US"/>
        </w:rPr>
        <w:t xml:space="preserve">This study shows that, lifetime prevalence of using psychoactive drugs at least once was (OPD) 5.5% and illegal substances was 3.9%. It also shows that lifetime prevalence of ecstasy use was 0.9%, cannabis was 0.9% and synthetic </w:t>
      </w:r>
      <w:proofErr w:type="spellStart"/>
      <w:r w:rsidRPr="00740658">
        <w:rPr>
          <w:lang w:bidi="en-US"/>
        </w:rPr>
        <w:t>cannabinoid</w:t>
      </w:r>
      <w:proofErr w:type="spellEnd"/>
      <w:r w:rsidRPr="00740658">
        <w:rPr>
          <w:lang w:bidi="en-US"/>
        </w:rPr>
        <w:t xml:space="preserve"> was 0.8%. Most commonly used drugs among OPD were; benzodiazepine (2.1%), volatile substances (1.6%) and pills with alcohol (2.2%). Prevalence of using cocaine, heroin, amphetamine, LSD, ecstasy and anabolic steroid were between 0.5 and 0.9%. Most common reason of using OPD </w:t>
      </w:r>
      <w:proofErr w:type="gramStart"/>
      <w:r w:rsidRPr="00740658">
        <w:rPr>
          <w:lang w:bidi="en-US"/>
        </w:rPr>
        <w:t>were</w:t>
      </w:r>
      <w:proofErr w:type="gramEnd"/>
      <w:r w:rsidRPr="00740658">
        <w:rPr>
          <w:lang w:bidi="en-US"/>
        </w:rPr>
        <w:t xml:space="preserve"> entertainment, curiosity and irritability. Studies show that the first use of </w:t>
      </w:r>
      <w:proofErr w:type="gramStart"/>
      <w:r w:rsidRPr="00740658">
        <w:rPr>
          <w:lang w:bidi="en-US"/>
        </w:rPr>
        <w:t>OPD  decreased</w:t>
      </w:r>
      <w:proofErr w:type="gramEnd"/>
      <w:r w:rsidRPr="00740658">
        <w:rPr>
          <w:lang w:bidi="en-US"/>
        </w:rPr>
        <w:t xml:space="preserve"> to the age of 11 and below. Smoking, alcohol use and becoming drunk at young age are the risk factors of becoming illegal drug users.</w:t>
      </w:r>
    </w:p>
    <w:p w:rsidR="005764E3" w:rsidRDefault="005764E3" w:rsidP="005764E3">
      <w:pPr>
        <w:ind w:firstLine="120"/>
        <w:jc w:val="both"/>
      </w:pPr>
    </w:p>
    <w:p w:rsidR="00740658" w:rsidRDefault="00740658" w:rsidP="005764E3">
      <w:pPr>
        <w:ind w:firstLine="120"/>
        <w:jc w:val="both"/>
      </w:pPr>
      <w:r w:rsidRPr="00740658">
        <w:rPr>
          <w:lang w:bidi="en-US"/>
        </w:rPr>
        <w:t xml:space="preserve">Table 1 provides a comparison of some </w:t>
      </w:r>
      <w:proofErr w:type="spellStart"/>
      <w:r w:rsidRPr="00740658">
        <w:rPr>
          <w:lang w:bidi="en-US"/>
        </w:rPr>
        <w:t>sociodemographic</w:t>
      </w:r>
      <w:proofErr w:type="spellEnd"/>
      <w:r w:rsidRPr="00740658">
        <w:rPr>
          <w:lang w:bidi="en-US"/>
        </w:rPr>
        <w:t xml:space="preserve"> characteristics of students who use and do not use </w:t>
      </w:r>
      <w:proofErr w:type="gramStart"/>
      <w:r w:rsidRPr="00740658">
        <w:rPr>
          <w:lang w:bidi="en-US"/>
        </w:rPr>
        <w:t>an illegal substances</w:t>
      </w:r>
      <w:proofErr w:type="gramEnd"/>
      <w:r w:rsidRPr="00740658">
        <w:rPr>
          <w:lang w:bidi="en-US"/>
        </w:rPr>
        <w:t>.</w:t>
      </w:r>
    </w:p>
    <w:p w:rsidR="00740658" w:rsidRDefault="00740658" w:rsidP="00740658">
      <w:pPr>
        <w:tabs>
          <w:tab w:val="left" w:pos="2268"/>
        </w:tabs>
        <w:jc w:val="both"/>
        <w:rPr>
          <w:lang w:bidi="en-US"/>
        </w:rPr>
      </w:pPr>
    </w:p>
    <w:p w:rsidR="00740658" w:rsidRDefault="00740658" w:rsidP="00740658">
      <w:pPr>
        <w:tabs>
          <w:tab w:val="left" w:pos="2268"/>
        </w:tabs>
        <w:jc w:val="both"/>
        <w:rPr>
          <w:lang w:bidi="en-US"/>
        </w:rPr>
      </w:pPr>
    </w:p>
    <w:p w:rsidR="00740658" w:rsidRDefault="00740658" w:rsidP="00740658">
      <w:pPr>
        <w:tabs>
          <w:tab w:val="left" w:pos="2268"/>
        </w:tabs>
        <w:jc w:val="both"/>
        <w:rPr>
          <w:lang w:bidi="en-US"/>
        </w:rPr>
      </w:pPr>
    </w:p>
    <w:p w:rsidR="00740658" w:rsidRPr="00740658" w:rsidRDefault="00740658" w:rsidP="00740658">
      <w:pPr>
        <w:jc w:val="center"/>
        <w:rPr>
          <w:sz w:val="16"/>
          <w:szCs w:val="16"/>
          <w:u w:val="single"/>
        </w:rPr>
      </w:pPr>
      <w:proofErr w:type="gramStart"/>
      <w:r w:rsidRPr="00740658">
        <w:rPr>
          <w:sz w:val="16"/>
          <w:szCs w:val="16"/>
          <w:u w:val="single"/>
        </w:rPr>
        <w:t>Table 1.</w:t>
      </w:r>
      <w:proofErr w:type="gramEnd"/>
      <w:r w:rsidRPr="00740658">
        <w:rPr>
          <w:sz w:val="16"/>
          <w:szCs w:val="16"/>
          <w:u w:val="single"/>
          <w:lang w:bidi="en-US"/>
        </w:rPr>
        <w:t xml:space="preserve"> Comparison of some </w:t>
      </w:r>
      <w:proofErr w:type="spellStart"/>
      <w:r w:rsidRPr="00740658">
        <w:rPr>
          <w:sz w:val="16"/>
          <w:szCs w:val="16"/>
          <w:u w:val="single"/>
          <w:lang w:bidi="en-US"/>
        </w:rPr>
        <w:t>sociodemographic</w:t>
      </w:r>
      <w:proofErr w:type="spellEnd"/>
      <w:r w:rsidRPr="00740658">
        <w:rPr>
          <w:sz w:val="16"/>
          <w:szCs w:val="16"/>
          <w:u w:val="single"/>
          <w:lang w:bidi="en-US"/>
        </w:rPr>
        <w:t xml:space="preserve"> characteristics of students who use an</w:t>
      </w:r>
      <w:r>
        <w:rPr>
          <w:sz w:val="16"/>
          <w:szCs w:val="16"/>
          <w:u w:val="single"/>
          <w:lang w:bidi="en-US"/>
        </w:rPr>
        <w:t>d do not use illegal substances</w:t>
      </w:r>
    </w:p>
    <w:p w:rsidR="00740658" w:rsidRDefault="00740658" w:rsidP="00740658">
      <w:pPr>
        <w:tabs>
          <w:tab w:val="left" w:pos="2268"/>
        </w:tabs>
        <w:jc w:val="both"/>
        <w:rPr>
          <w:lang w:bidi="en-US"/>
        </w:rPr>
      </w:pPr>
    </w:p>
    <w:tbl>
      <w:tblPr>
        <w:tblpPr w:leftFromText="141" w:rightFromText="141" w:vertAnchor="text" w:horzAnchor="margin" w:tblpY="61"/>
        <w:tblW w:w="5000" w:type="pct"/>
        <w:tblBorders>
          <w:top w:val="single" w:sz="4" w:space="0" w:color="auto"/>
          <w:bottom w:val="single" w:sz="4" w:space="0" w:color="auto"/>
        </w:tblBorders>
        <w:tblLook w:val="01E0"/>
      </w:tblPr>
      <w:tblGrid>
        <w:gridCol w:w="2327"/>
        <w:gridCol w:w="1551"/>
        <w:gridCol w:w="1647"/>
        <w:gridCol w:w="1999"/>
        <w:gridCol w:w="2098"/>
      </w:tblGrid>
      <w:tr w:rsidR="00740658" w:rsidRPr="003C6F39" w:rsidTr="00740658">
        <w:trPr>
          <w:trHeight w:val="558"/>
        </w:trPr>
        <w:tc>
          <w:tcPr>
            <w:tcW w:w="1209" w:type="pct"/>
            <w:tcBorders>
              <w:top w:val="single" w:sz="4" w:space="0" w:color="auto"/>
              <w:bottom w:val="single" w:sz="4" w:space="0" w:color="auto"/>
            </w:tcBorders>
          </w:tcPr>
          <w:p w:rsidR="00740658" w:rsidRPr="003C6F39" w:rsidRDefault="00740658" w:rsidP="00740658">
            <w:pPr>
              <w:jc w:val="center"/>
              <w:rPr>
                <w:b/>
                <w:sz w:val="16"/>
                <w:szCs w:val="16"/>
                <w:lang w:val="en-US"/>
              </w:rPr>
            </w:pPr>
            <w:r w:rsidRPr="003C6F39">
              <w:rPr>
                <w:b/>
                <w:sz w:val="16"/>
                <w:szCs w:val="16"/>
                <w:lang w:val="en-US"/>
              </w:rPr>
              <w:t>Groups</w:t>
            </w:r>
          </w:p>
        </w:tc>
        <w:tc>
          <w:tcPr>
            <w:tcW w:w="806" w:type="pct"/>
            <w:tcBorders>
              <w:top w:val="single" w:sz="4" w:space="0" w:color="auto"/>
              <w:bottom w:val="single" w:sz="4" w:space="0" w:color="auto"/>
            </w:tcBorders>
          </w:tcPr>
          <w:p w:rsidR="00740658" w:rsidRDefault="00740658" w:rsidP="00740658">
            <w:pPr>
              <w:jc w:val="center"/>
              <w:rPr>
                <w:b/>
                <w:sz w:val="16"/>
                <w:szCs w:val="16"/>
                <w:lang w:val="en-US"/>
              </w:rPr>
            </w:pPr>
            <w:r>
              <w:rPr>
                <w:b/>
                <w:sz w:val="16"/>
                <w:szCs w:val="16"/>
                <w:lang w:val="en-US"/>
              </w:rPr>
              <w:t>Non- User</w:t>
            </w:r>
          </w:p>
          <w:p w:rsidR="00740658" w:rsidRDefault="00740658" w:rsidP="00740658">
            <w:pPr>
              <w:rPr>
                <w:b/>
                <w:sz w:val="16"/>
                <w:szCs w:val="16"/>
                <w:lang w:val="en-US"/>
              </w:rPr>
            </w:pPr>
            <w:r>
              <w:rPr>
                <w:b/>
                <w:sz w:val="16"/>
                <w:szCs w:val="16"/>
                <w:lang w:val="en-US"/>
              </w:rPr>
              <w:t xml:space="preserve">     </w:t>
            </w:r>
          </w:p>
          <w:p w:rsidR="00740658" w:rsidRPr="003C6F39" w:rsidRDefault="00740658" w:rsidP="00740658">
            <w:pPr>
              <w:rPr>
                <w:b/>
                <w:sz w:val="16"/>
                <w:szCs w:val="16"/>
                <w:lang w:val="en-US"/>
              </w:rPr>
            </w:pPr>
            <w:r>
              <w:rPr>
                <w:b/>
                <w:sz w:val="16"/>
                <w:szCs w:val="16"/>
                <w:lang w:val="en-US"/>
              </w:rPr>
              <w:t xml:space="preserve">         n         %</w:t>
            </w:r>
          </w:p>
          <w:p w:rsidR="00740658" w:rsidRPr="003C6F39" w:rsidRDefault="00740658" w:rsidP="00740658">
            <w:pPr>
              <w:jc w:val="center"/>
              <w:rPr>
                <w:b/>
                <w:sz w:val="16"/>
                <w:szCs w:val="16"/>
                <w:lang w:val="en-US"/>
              </w:rPr>
            </w:pPr>
          </w:p>
        </w:tc>
        <w:tc>
          <w:tcPr>
            <w:tcW w:w="856" w:type="pct"/>
            <w:tcBorders>
              <w:top w:val="single" w:sz="4" w:space="0" w:color="auto"/>
              <w:bottom w:val="single" w:sz="4" w:space="0" w:color="auto"/>
            </w:tcBorders>
          </w:tcPr>
          <w:p w:rsidR="00740658" w:rsidRDefault="00740658" w:rsidP="00740658">
            <w:pPr>
              <w:jc w:val="center"/>
              <w:rPr>
                <w:b/>
                <w:sz w:val="16"/>
                <w:szCs w:val="16"/>
                <w:lang w:val="en-US"/>
              </w:rPr>
            </w:pPr>
            <w:r>
              <w:rPr>
                <w:b/>
                <w:sz w:val="16"/>
                <w:szCs w:val="16"/>
                <w:lang w:val="en-US"/>
              </w:rPr>
              <w:t>User</w:t>
            </w:r>
          </w:p>
          <w:p w:rsidR="00740658" w:rsidRDefault="00740658" w:rsidP="00740658">
            <w:pPr>
              <w:rPr>
                <w:sz w:val="16"/>
                <w:szCs w:val="16"/>
                <w:lang w:val="en-US"/>
              </w:rPr>
            </w:pPr>
          </w:p>
          <w:p w:rsidR="00740658" w:rsidRPr="00740658" w:rsidRDefault="00740658" w:rsidP="00740658">
            <w:pPr>
              <w:rPr>
                <w:b/>
                <w:sz w:val="16"/>
                <w:szCs w:val="16"/>
                <w:lang w:val="en-US"/>
              </w:rPr>
            </w:pPr>
            <w:r>
              <w:rPr>
                <w:sz w:val="16"/>
                <w:szCs w:val="16"/>
                <w:lang w:val="en-US"/>
              </w:rPr>
              <w:t xml:space="preserve">          </w:t>
            </w:r>
            <w:r w:rsidRPr="00740658">
              <w:rPr>
                <w:b/>
                <w:sz w:val="16"/>
                <w:szCs w:val="16"/>
                <w:lang w:val="en-US"/>
              </w:rPr>
              <w:t>n          %</w:t>
            </w:r>
          </w:p>
        </w:tc>
        <w:tc>
          <w:tcPr>
            <w:tcW w:w="1039" w:type="pct"/>
            <w:tcBorders>
              <w:top w:val="single" w:sz="4" w:space="0" w:color="auto"/>
              <w:bottom w:val="single" w:sz="4" w:space="0" w:color="auto"/>
            </w:tcBorders>
          </w:tcPr>
          <w:p w:rsidR="00740658" w:rsidRPr="003C6F39" w:rsidRDefault="00740658" w:rsidP="00740658">
            <w:pPr>
              <w:jc w:val="center"/>
              <w:rPr>
                <w:b/>
                <w:sz w:val="16"/>
                <w:szCs w:val="16"/>
                <w:lang w:val="en-US"/>
              </w:rPr>
            </w:pPr>
            <w:r w:rsidRPr="003C6F39">
              <w:rPr>
                <w:b/>
                <w:sz w:val="16"/>
                <w:szCs w:val="16"/>
              </w:rPr>
              <w:t>x</w:t>
            </w:r>
            <w:r w:rsidRPr="003C6F39">
              <w:rPr>
                <w:b/>
                <w:sz w:val="16"/>
                <w:szCs w:val="16"/>
                <w:vertAlign w:val="superscript"/>
              </w:rPr>
              <w:t>2</w:t>
            </w:r>
          </w:p>
        </w:tc>
        <w:tc>
          <w:tcPr>
            <w:tcW w:w="1090" w:type="pct"/>
            <w:tcBorders>
              <w:top w:val="single" w:sz="4" w:space="0" w:color="auto"/>
              <w:bottom w:val="single" w:sz="4" w:space="0" w:color="auto"/>
            </w:tcBorders>
          </w:tcPr>
          <w:p w:rsidR="00740658" w:rsidRPr="003C6F39" w:rsidRDefault="00740658" w:rsidP="00740658">
            <w:pPr>
              <w:jc w:val="center"/>
              <w:rPr>
                <w:b/>
                <w:sz w:val="16"/>
                <w:szCs w:val="16"/>
                <w:lang w:val="en-US"/>
              </w:rPr>
            </w:pPr>
            <w:r w:rsidRPr="003C6F39">
              <w:rPr>
                <w:b/>
                <w:sz w:val="16"/>
                <w:szCs w:val="16"/>
              </w:rPr>
              <w:t>p</w:t>
            </w:r>
          </w:p>
        </w:tc>
      </w:tr>
      <w:tr w:rsidR="00740658" w:rsidRPr="003C6F39" w:rsidTr="00740658">
        <w:tc>
          <w:tcPr>
            <w:tcW w:w="1209" w:type="pct"/>
            <w:tcBorders>
              <w:top w:val="single" w:sz="4" w:space="0" w:color="auto"/>
            </w:tcBorders>
          </w:tcPr>
          <w:p w:rsidR="00740658" w:rsidRPr="003C6F39" w:rsidRDefault="00740658" w:rsidP="00740658">
            <w:pPr>
              <w:rPr>
                <w:b/>
                <w:sz w:val="16"/>
                <w:szCs w:val="16"/>
                <w:lang w:val="en-US"/>
              </w:rPr>
            </w:pPr>
            <w:r w:rsidRPr="003C6F39">
              <w:rPr>
                <w:b/>
                <w:sz w:val="16"/>
                <w:szCs w:val="16"/>
                <w:lang w:val="en-US"/>
              </w:rPr>
              <w:t>Sex</w:t>
            </w:r>
          </w:p>
          <w:p w:rsidR="00740658" w:rsidRPr="003C6F39" w:rsidRDefault="00740658" w:rsidP="00740658">
            <w:pPr>
              <w:jc w:val="center"/>
              <w:rPr>
                <w:sz w:val="16"/>
                <w:szCs w:val="16"/>
                <w:lang w:val="en-US"/>
              </w:rPr>
            </w:pPr>
            <w:r w:rsidRPr="003C6F39">
              <w:rPr>
                <w:sz w:val="16"/>
                <w:szCs w:val="16"/>
                <w:lang w:val="en-US"/>
              </w:rPr>
              <w:t>Female</w:t>
            </w:r>
          </w:p>
          <w:p w:rsidR="00740658" w:rsidRPr="003C6F39" w:rsidRDefault="00740658" w:rsidP="00740658">
            <w:pPr>
              <w:jc w:val="center"/>
              <w:rPr>
                <w:sz w:val="16"/>
                <w:szCs w:val="16"/>
                <w:lang w:val="en-US"/>
              </w:rPr>
            </w:pPr>
            <w:r w:rsidRPr="003C6F39">
              <w:rPr>
                <w:sz w:val="16"/>
                <w:szCs w:val="16"/>
                <w:lang w:val="en-US"/>
              </w:rPr>
              <w:t>Male</w:t>
            </w:r>
          </w:p>
        </w:tc>
        <w:tc>
          <w:tcPr>
            <w:tcW w:w="806" w:type="pct"/>
            <w:tcBorders>
              <w:top w:val="single" w:sz="4" w:space="0" w:color="auto"/>
            </w:tcBorders>
          </w:tcPr>
          <w:p w:rsidR="00740658" w:rsidRPr="003C6F39" w:rsidRDefault="00740658" w:rsidP="00740658">
            <w:pPr>
              <w:jc w:val="center"/>
              <w:rPr>
                <w:sz w:val="16"/>
                <w:szCs w:val="16"/>
                <w:lang w:val="en-US"/>
              </w:rPr>
            </w:pPr>
          </w:p>
          <w:p w:rsidR="00740658" w:rsidRPr="003C6F39" w:rsidRDefault="00740658" w:rsidP="00740658">
            <w:pPr>
              <w:jc w:val="center"/>
              <w:rPr>
                <w:sz w:val="16"/>
                <w:szCs w:val="16"/>
                <w:lang w:val="en-US"/>
              </w:rPr>
            </w:pPr>
            <w:r w:rsidRPr="003C6F39">
              <w:rPr>
                <w:sz w:val="16"/>
                <w:szCs w:val="16"/>
                <w:lang w:val="en-US"/>
              </w:rPr>
              <w:t>628     96,8</w:t>
            </w:r>
          </w:p>
          <w:p w:rsidR="00740658" w:rsidRPr="003C6F39" w:rsidRDefault="00740658" w:rsidP="00740658">
            <w:pPr>
              <w:jc w:val="center"/>
              <w:rPr>
                <w:sz w:val="16"/>
                <w:szCs w:val="16"/>
                <w:lang w:val="en-US"/>
              </w:rPr>
            </w:pPr>
            <w:r w:rsidRPr="003C6F39">
              <w:rPr>
                <w:sz w:val="16"/>
                <w:szCs w:val="16"/>
                <w:lang w:val="en-US"/>
              </w:rPr>
              <w:t xml:space="preserve">618     95,5 </w:t>
            </w:r>
          </w:p>
        </w:tc>
        <w:tc>
          <w:tcPr>
            <w:tcW w:w="856" w:type="pct"/>
            <w:tcBorders>
              <w:top w:val="single" w:sz="4" w:space="0" w:color="auto"/>
            </w:tcBorders>
          </w:tcPr>
          <w:p w:rsidR="00740658" w:rsidRPr="003C6F39" w:rsidRDefault="00740658" w:rsidP="00740658">
            <w:pPr>
              <w:jc w:val="center"/>
              <w:rPr>
                <w:sz w:val="16"/>
                <w:szCs w:val="16"/>
                <w:lang w:val="en-US"/>
              </w:rPr>
            </w:pPr>
          </w:p>
          <w:p w:rsidR="00740658" w:rsidRPr="003C6F39" w:rsidRDefault="00740658" w:rsidP="00740658">
            <w:pPr>
              <w:jc w:val="center"/>
              <w:rPr>
                <w:sz w:val="16"/>
                <w:szCs w:val="16"/>
                <w:lang w:val="en-US"/>
              </w:rPr>
            </w:pPr>
            <w:r w:rsidRPr="003C6F39">
              <w:rPr>
                <w:sz w:val="16"/>
                <w:szCs w:val="16"/>
                <w:lang w:val="en-US"/>
              </w:rPr>
              <w:t>21,9     3,2</w:t>
            </w:r>
          </w:p>
          <w:p w:rsidR="00740658" w:rsidRPr="003C6F39" w:rsidRDefault="00740658" w:rsidP="00740658">
            <w:pPr>
              <w:jc w:val="center"/>
              <w:rPr>
                <w:sz w:val="16"/>
                <w:szCs w:val="16"/>
                <w:lang w:val="en-US"/>
              </w:rPr>
            </w:pPr>
            <w:r w:rsidRPr="003C6F39">
              <w:rPr>
                <w:sz w:val="16"/>
                <w:szCs w:val="16"/>
                <w:lang w:val="en-US"/>
              </w:rPr>
              <w:t>29        4,5</w:t>
            </w:r>
          </w:p>
        </w:tc>
        <w:tc>
          <w:tcPr>
            <w:tcW w:w="1039" w:type="pct"/>
            <w:tcBorders>
              <w:top w:val="single" w:sz="4" w:space="0" w:color="auto"/>
            </w:tcBorders>
          </w:tcPr>
          <w:p w:rsidR="00740658" w:rsidRPr="003C6F39" w:rsidRDefault="00740658" w:rsidP="00740658">
            <w:pPr>
              <w:jc w:val="center"/>
              <w:rPr>
                <w:sz w:val="16"/>
                <w:szCs w:val="16"/>
                <w:lang w:val="en-US"/>
              </w:rPr>
            </w:pPr>
          </w:p>
          <w:p w:rsidR="00740658" w:rsidRPr="003C6F39" w:rsidRDefault="00740658" w:rsidP="00740658">
            <w:pPr>
              <w:jc w:val="center"/>
              <w:rPr>
                <w:sz w:val="16"/>
                <w:szCs w:val="16"/>
                <w:lang w:val="en-US"/>
              </w:rPr>
            </w:pPr>
            <w:r w:rsidRPr="003C6F39">
              <w:rPr>
                <w:sz w:val="16"/>
                <w:szCs w:val="16"/>
              </w:rPr>
              <w:t>1,357</w:t>
            </w:r>
          </w:p>
        </w:tc>
        <w:tc>
          <w:tcPr>
            <w:tcW w:w="1090" w:type="pct"/>
            <w:tcBorders>
              <w:top w:val="single" w:sz="4" w:space="0" w:color="auto"/>
            </w:tcBorders>
          </w:tcPr>
          <w:p w:rsidR="00740658" w:rsidRPr="003C6F39" w:rsidRDefault="00740658" w:rsidP="00740658">
            <w:pPr>
              <w:jc w:val="center"/>
              <w:rPr>
                <w:sz w:val="16"/>
                <w:szCs w:val="16"/>
                <w:lang w:val="en-US"/>
              </w:rPr>
            </w:pPr>
          </w:p>
          <w:p w:rsidR="00740658" w:rsidRPr="003C6F39" w:rsidRDefault="00740658" w:rsidP="00740658">
            <w:pPr>
              <w:jc w:val="center"/>
              <w:rPr>
                <w:sz w:val="16"/>
                <w:szCs w:val="16"/>
                <w:lang w:val="en-US"/>
              </w:rPr>
            </w:pPr>
            <w:r w:rsidRPr="003C6F39">
              <w:rPr>
                <w:sz w:val="16"/>
                <w:szCs w:val="16"/>
              </w:rPr>
              <w:t>0,240</w:t>
            </w:r>
          </w:p>
        </w:tc>
      </w:tr>
      <w:tr w:rsidR="00740658" w:rsidRPr="003C6F39" w:rsidTr="00740658">
        <w:tc>
          <w:tcPr>
            <w:tcW w:w="1209" w:type="pct"/>
            <w:tcBorders>
              <w:top w:val="single" w:sz="4" w:space="0" w:color="auto"/>
            </w:tcBorders>
          </w:tcPr>
          <w:p w:rsidR="00740658" w:rsidRPr="003C6F39" w:rsidRDefault="00740658" w:rsidP="00740658">
            <w:pPr>
              <w:rPr>
                <w:b/>
                <w:sz w:val="16"/>
                <w:szCs w:val="16"/>
                <w:lang w:val="en-US"/>
              </w:rPr>
            </w:pPr>
            <w:r w:rsidRPr="003C6F39">
              <w:rPr>
                <w:b/>
                <w:sz w:val="16"/>
                <w:szCs w:val="16"/>
                <w:lang w:val="en-US"/>
              </w:rPr>
              <w:t>Place of birth</w:t>
            </w:r>
          </w:p>
          <w:p w:rsidR="00740658" w:rsidRPr="003C6F39" w:rsidRDefault="00740658" w:rsidP="00740658">
            <w:pPr>
              <w:jc w:val="center"/>
              <w:rPr>
                <w:sz w:val="16"/>
                <w:szCs w:val="16"/>
                <w:lang w:val="en-US"/>
              </w:rPr>
            </w:pPr>
            <w:r w:rsidRPr="003C6F39">
              <w:rPr>
                <w:sz w:val="16"/>
                <w:szCs w:val="16"/>
                <w:lang w:val="en-US"/>
              </w:rPr>
              <w:t>Turkey</w:t>
            </w:r>
          </w:p>
          <w:p w:rsidR="00740658" w:rsidRPr="003C6F39" w:rsidRDefault="00740658" w:rsidP="00740658">
            <w:pPr>
              <w:jc w:val="center"/>
              <w:rPr>
                <w:sz w:val="16"/>
                <w:szCs w:val="16"/>
                <w:lang w:val="en-US"/>
              </w:rPr>
            </w:pPr>
            <w:r w:rsidRPr="003C6F39">
              <w:rPr>
                <w:sz w:val="16"/>
                <w:szCs w:val="16"/>
                <w:lang w:val="en-US"/>
              </w:rPr>
              <w:t>Cyprus</w:t>
            </w:r>
          </w:p>
          <w:p w:rsidR="00740658" w:rsidRPr="003C6F39" w:rsidRDefault="00740658" w:rsidP="00740658">
            <w:pPr>
              <w:jc w:val="center"/>
              <w:rPr>
                <w:sz w:val="16"/>
                <w:szCs w:val="16"/>
                <w:lang w:val="en-US"/>
              </w:rPr>
            </w:pPr>
            <w:r w:rsidRPr="003C6F39">
              <w:rPr>
                <w:sz w:val="16"/>
                <w:szCs w:val="16"/>
                <w:lang w:val="en-US"/>
              </w:rPr>
              <w:t>United Kingdom</w:t>
            </w:r>
          </w:p>
          <w:p w:rsidR="00740658" w:rsidRPr="003C6F39" w:rsidRDefault="00740658" w:rsidP="00740658">
            <w:pPr>
              <w:jc w:val="center"/>
              <w:rPr>
                <w:sz w:val="16"/>
                <w:szCs w:val="16"/>
                <w:lang w:val="en-US"/>
              </w:rPr>
            </w:pPr>
            <w:r w:rsidRPr="003C6F39">
              <w:rPr>
                <w:sz w:val="16"/>
                <w:szCs w:val="16"/>
                <w:lang w:val="en-US"/>
              </w:rPr>
              <w:t>Other</w:t>
            </w:r>
          </w:p>
        </w:tc>
        <w:tc>
          <w:tcPr>
            <w:tcW w:w="806" w:type="pct"/>
            <w:tcBorders>
              <w:top w:val="single" w:sz="4" w:space="0" w:color="auto"/>
            </w:tcBorders>
          </w:tcPr>
          <w:p w:rsidR="00740658" w:rsidRPr="003C6F39" w:rsidRDefault="00740658" w:rsidP="00740658">
            <w:pPr>
              <w:jc w:val="center"/>
              <w:rPr>
                <w:sz w:val="16"/>
                <w:szCs w:val="16"/>
                <w:lang w:val="en-US"/>
              </w:rPr>
            </w:pPr>
          </w:p>
          <w:p w:rsidR="00740658" w:rsidRPr="003C6F39" w:rsidRDefault="00740658" w:rsidP="00740658">
            <w:pPr>
              <w:jc w:val="center"/>
              <w:rPr>
                <w:sz w:val="16"/>
                <w:szCs w:val="16"/>
                <w:lang w:val="en-US"/>
              </w:rPr>
            </w:pPr>
            <w:r w:rsidRPr="003C6F39">
              <w:rPr>
                <w:sz w:val="16"/>
                <w:szCs w:val="16"/>
                <w:lang w:val="en-US"/>
              </w:rPr>
              <w:t>909    96,5</w:t>
            </w:r>
          </w:p>
          <w:p w:rsidR="00740658" w:rsidRPr="003C6F39" w:rsidRDefault="00740658" w:rsidP="00740658">
            <w:pPr>
              <w:jc w:val="center"/>
              <w:rPr>
                <w:sz w:val="16"/>
                <w:szCs w:val="16"/>
                <w:lang w:val="en-US"/>
              </w:rPr>
            </w:pPr>
            <w:r w:rsidRPr="003C6F39">
              <w:rPr>
                <w:sz w:val="16"/>
                <w:szCs w:val="16"/>
                <w:lang w:val="en-US"/>
              </w:rPr>
              <w:t>304    95,5</w:t>
            </w:r>
          </w:p>
          <w:p w:rsidR="00740658" w:rsidRPr="003C6F39" w:rsidRDefault="00740658" w:rsidP="00740658">
            <w:pPr>
              <w:jc w:val="center"/>
              <w:rPr>
                <w:sz w:val="16"/>
                <w:szCs w:val="16"/>
                <w:lang w:val="en-US"/>
              </w:rPr>
            </w:pPr>
            <w:r w:rsidRPr="003C6F39">
              <w:rPr>
                <w:sz w:val="16"/>
                <w:szCs w:val="16"/>
                <w:lang w:val="en-US"/>
              </w:rPr>
              <w:t>18       94,7</w:t>
            </w:r>
          </w:p>
          <w:p w:rsidR="00740658" w:rsidRPr="003C6F39" w:rsidRDefault="00740658" w:rsidP="00740658">
            <w:pPr>
              <w:jc w:val="center"/>
              <w:rPr>
                <w:sz w:val="16"/>
                <w:szCs w:val="16"/>
                <w:lang w:val="en-US"/>
              </w:rPr>
            </w:pPr>
            <w:r w:rsidRPr="003C6F39">
              <w:rPr>
                <w:sz w:val="16"/>
                <w:szCs w:val="16"/>
                <w:lang w:val="en-US"/>
              </w:rPr>
              <w:t>24     100,0</w:t>
            </w:r>
          </w:p>
        </w:tc>
        <w:tc>
          <w:tcPr>
            <w:tcW w:w="856" w:type="pct"/>
            <w:tcBorders>
              <w:top w:val="single" w:sz="4" w:space="0" w:color="auto"/>
            </w:tcBorders>
          </w:tcPr>
          <w:p w:rsidR="00740658" w:rsidRPr="003C6F39" w:rsidRDefault="00740658" w:rsidP="00740658">
            <w:pPr>
              <w:jc w:val="center"/>
              <w:rPr>
                <w:sz w:val="16"/>
                <w:szCs w:val="16"/>
                <w:lang w:val="en-US"/>
              </w:rPr>
            </w:pPr>
          </w:p>
          <w:p w:rsidR="00740658" w:rsidRPr="003C6F39" w:rsidRDefault="00740658" w:rsidP="00740658">
            <w:pPr>
              <w:jc w:val="center"/>
              <w:rPr>
                <w:sz w:val="16"/>
                <w:szCs w:val="16"/>
                <w:lang w:val="en-US"/>
              </w:rPr>
            </w:pPr>
            <w:r w:rsidRPr="003C6F39">
              <w:rPr>
                <w:sz w:val="16"/>
                <w:szCs w:val="16"/>
                <w:lang w:val="en-US"/>
              </w:rPr>
              <w:t>33      3,5</w:t>
            </w:r>
          </w:p>
          <w:p w:rsidR="00740658" w:rsidRPr="003C6F39" w:rsidRDefault="00740658" w:rsidP="00740658">
            <w:pPr>
              <w:jc w:val="center"/>
              <w:rPr>
                <w:sz w:val="16"/>
                <w:szCs w:val="16"/>
                <w:lang w:val="en-US"/>
              </w:rPr>
            </w:pPr>
            <w:r w:rsidRPr="003C6F39">
              <w:rPr>
                <w:sz w:val="16"/>
                <w:szCs w:val="16"/>
                <w:lang w:val="en-US"/>
              </w:rPr>
              <w:t>16      5,0</w:t>
            </w:r>
          </w:p>
          <w:p w:rsidR="00740658" w:rsidRPr="003C6F39" w:rsidRDefault="00740658" w:rsidP="00740658">
            <w:pPr>
              <w:jc w:val="center"/>
              <w:rPr>
                <w:sz w:val="16"/>
                <w:szCs w:val="16"/>
                <w:lang w:val="en-US"/>
              </w:rPr>
            </w:pPr>
            <w:r w:rsidRPr="003C6F39">
              <w:rPr>
                <w:sz w:val="16"/>
                <w:szCs w:val="16"/>
                <w:lang w:val="en-US"/>
              </w:rPr>
              <w:t>1        5,3</w:t>
            </w:r>
          </w:p>
          <w:p w:rsidR="00740658" w:rsidRPr="003C6F39" w:rsidRDefault="00740658" w:rsidP="00740658">
            <w:pPr>
              <w:jc w:val="center"/>
              <w:rPr>
                <w:sz w:val="16"/>
                <w:szCs w:val="16"/>
                <w:lang w:val="en-US"/>
              </w:rPr>
            </w:pPr>
            <w:r w:rsidRPr="003C6F39">
              <w:rPr>
                <w:sz w:val="16"/>
                <w:szCs w:val="16"/>
                <w:lang w:val="en-US"/>
              </w:rPr>
              <w:t>0           0</w:t>
            </w:r>
          </w:p>
        </w:tc>
        <w:tc>
          <w:tcPr>
            <w:tcW w:w="1039" w:type="pct"/>
            <w:tcBorders>
              <w:top w:val="single" w:sz="4" w:space="0" w:color="auto"/>
            </w:tcBorders>
          </w:tcPr>
          <w:p w:rsidR="00740658" w:rsidRPr="003C6F39" w:rsidRDefault="00740658" w:rsidP="00740658">
            <w:pPr>
              <w:jc w:val="center"/>
              <w:rPr>
                <w:sz w:val="16"/>
                <w:szCs w:val="16"/>
                <w:lang w:val="en-US"/>
              </w:rPr>
            </w:pPr>
          </w:p>
        </w:tc>
        <w:tc>
          <w:tcPr>
            <w:tcW w:w="1090" w:type="pct"/>
            <w:tcBorders>
              <w:top w:val="single" w:sz="4" w:space="0" w:color="auto"/>
            </w:tcBorders>
          </w:tcPr>
          <w:p w:rsidR="00740658" w:rsidRPr="003C6F39" w:rsidRDefault="00740658" w:rsidP="00740658">
            <w:pPr>
              <w:jc w:val="center"/>
              <w:rPr>
                <w:sz w:val="16"/>
                <w:szCs w:val="16"/>
                <w:lang w:val="en-US"/>
              </w:rPr>
            </w:pPr>
          </w:p>
        </w:tc>
      </w:tr>
      <w:tr w:rsidR="00740658" w:rsidRPr="003C6F39" w:rsidTr="00740658">
        <w:tc>
          <w:tcPr>
            <w:tcW w:w="1209" w:type="pct"/>
            <w:tcBorders>
              <w:top w:val="single" w:sz="4" w:space="0" w:color="auto"/>
            </w:tcBorders>
          </w:tcPr>
          <w:p w:rsidR="00740658" w:rsidRPr="003C6F39" w:rsidRDefault="00740658" w:rsidP="00740658">
            <w:pPr>
              <w:rPr>
                <w:b/>
                <w:sz w:val="16"/>
                <w:szCs w:val="16"/>
                <w:lang w:val="en-US"/>
              </w:rPr>
            </w:pPr>
            <w:proofErr w:type="spellStart"/>
            <w:r w:rsidRPr="003C6F39">
              <w:rPr>
                <w:b/>
                <w:sz w:val="16"/>
                <w:szCs w:val="16"/>
                <w:lang w:val="en-US"/>
              </w:rPr>
              <w:t>Mothly</w:t>
            </w:r>
            <w:proofErr w:type="spellEnd"/>
            <w:r w:rsidRPr="003C6F39">
              <w:rPr>
                <w:b/>
                <w:sz w:val="16"/>
                <w:szCs w:val="16"/>
                <w:lang w:val="en-US"/>
              </w:rPr>
              <w:t xml:space="preserve"> income of the family</w:t>
            </w:r>
          </w:p>
          <w:p w:rsidR="00740658" w:rsidRPr="003C6F39" w:rsidRDefault="00740658" w:rsidP="00740658">
            <w:pPr>
              <w:jc w:val="center"/>
              <w:rPr>
                <w:sz w:val="16"/>
                <w:szCs w:val="16"/>
                <w:lang w:val="en-US"/>
              </w:rPr>
            </w:pPr>
            <w:r w:rsidRPr="003C6F39">
              <w:rPr>
                <w:sz w:val="16"/>
                <w:szCs w:val="16"/>
                <w:lang w:val="en-US"/>
              </w:rPr>
              <w:t>1000 TL and less</w:t>
            </w:r>
          </w:p>
          <w:p w:rsidR="00740658" w:rsidRPr="003C6F39" w:rsidRDefault="00740658" w:rsidP="00740658">
            <w:pPr>
              <w:jc w:val="center"/>
              <w:rPr>
                <w:sz w:val="16"/>
                <w:szCs w:val="16"/>
                <w:lang w:val="en-US"/>
              </w:rPr>
            </w:pPr>
            <w:r w:rsidRPr="003C6F39">
              <w:rPr>
                <w:sz w:val="16"/>
                <w:szCs w:val="16"/>
                <w:lang w:val="en-US"/>
              </w:rPr>
              <w:t>1000-2000</w:t>
            </w:r>
          </w:p>
          <w:p w:rsidR="00740658" w:rsidRPr="003C6F39" w:rsidRDefault="00740658" w:rsidP="00740658">
            <w:pPr>
              <w:jc w:val="center"/>
              <w:rPr>
                <w:sz w:val="16"/>
                <w:szCs w:val="16"/>
                <w:lang w:val="en-US"/>
              </w:rPr>
            </w:pPr>
            <w:r w:rsidRPr="003C6F39">
              <w:rPr>
                <w:sz w:val="16"/>
                <w:szCs w:val="16"/>
                <w:lang w:val="en-US"/>
              </w:rPr>
              <w:t>2000-4000</w:t>
            </w:r>
          </w:p>
          <w:p w:rsidR="00740658" w:rsidRPr="003C6F39" w:rsidRDefault="00740658" w:rsidP="00740658">
            <w:pPr>
              <w:jc w:val="center"/>
              <w:rPr>
                <w:sz w:val="16"/>
                <w:szCs w:val="16"/>
                <w:lang w:val="en-US"/>
              </w:rPr>
            </w:pPr>
            <w:r w:rsidRPr="003C6F39">
              <w:rPr>
                <w:sz w:val="16"/>
                <w:szCs w:val="16"/>
                <w:lang w:val="en-US"/>
              </w:rPr>
              <w:t>4000 and above</w:t>
            </w:r>
          </w:p>
        </w:tc>
        <w:tc>
          <w:tcPr>
            <w:tcW w:w="806" w:type="pct"/>
            <w:tcBorders>
              <w:top w:val="single" w:sz="4" w:space="0" w:color="auto"/>
            </w:tcBorders>
          </w:tcPr>
          <w:p w:rsidR="00740658" w:rsidRPr="003C6F39" w:rsidRDefault="00740658" w:rsidP="00740658">
            <w:pPr>
              <w:rPr>
                <w:sz w:val="16"/>
                <w:szCs w:val="16"/>
                <w:lang w:val="en-US"/>
              </w:rPr>
            </w:pPr>
          </w:p>
          <w:p w:rsidR="00740658" w:rsidRPr="003C6F39" w:rsidRDefault="00740658" w:rsidP="00740658">
            <w:pPr>
              <w:jc w:val="center"/>
              <w:rPr>
                <w:sz w:val="16"/>
                <w:szCs w:val="16"/>
                <w:lang w:val="en-US"/>
              </w:rPr>
            </w:pPr>
            <w:r w:rsidRPr="003C6F39">
              <w:rPr>
                <w:sz w:val="16"/>
                <w:szCs w:val="16"/>
                <w:lang w:val="en-US"/>
              </w:rPr>
              <w:t>48        94,1</w:t>
            </w:r>
          </w:p>
          <w:p w:rsidR="00740658" w:rsidRPr="003C6F39" w:rsidRDefault="00740658" w:rsidP="00740658">
            <w:pPr>
              <w:jc w:val="center"/>
              <w:rPr>
                <w:sz w:val="16"/>
                <w:szCs w:val="16"/>
                <w:lang w:val="en-US"/>
              </w:rPr>
            </w:pPr>
            <w:r w:rsidRPr="003C6F39">
              <w:rPr>
                <w:sz w:val="16"/>
                <w:szCs w:val="16"/>
                <w:lang w:val="en-US"/>
              </w:rPr>
              <w:t>413      94,9</w:t>
            </w:r>
          </w:p>
          <w:p w:rsidR="00740658" w:rsidRPr="003C6F39" w:rsidRDefault="00740658" w:rsidP="00740658">
            <w:pPr>
              <w:jc w:val="center"/>
              <w:rPr>
                <w:sz w:val="16"/>
                <w:szCs w:val="16"/>
                <w:lang w:val="en-US"/>
              </w:rPr>
            </w:pPr>
            <w:r w:rsidRPr="003C6F39">
              <w:rPr>
                <w:sz w:val="16"/>
                <w:szCs w:val="16"/>
                <w:lang w:val="en-US"/>
              </w:rPr>
              <w:t>632      07,1</w:t>
            </w:r>
          </w:p>
          <w:p w:rsidR="00740658" w:rsidRPr="003C6F39" w:rsidRDefault="00740658" w:rsidP="00740658">
            <w:pPr>
              <w:jc w:val="center"/>
              <w:rPr>
                <w:sz w:val="16"/>
                <w:szCs w:val="16"/>
                <w:lang w:val="en-US"/>
              </w:rPr>
            </w:pPr>
            <w:r w:rsidRPr="003C6F39">
              <w:rPr>
                <w:sz w:val="16"/>
                <w:szCs w:val="16"/>
                <w:lang w:val="en-US"/>
              </w:rPr>
              <w:t>151      96,8</w:t>
            </w:r>
          </w:p>
        </w:tc>
        <w:tc>
          <w:tcPr>
            <w:tcW w:w="856" w:type="pct"/>
            <w:tcBorders>
              <w:top w:val="single" w:sz="4" w:space="0" w:color="auto"/>
            </w:tcBorders>
          </w:tcPr>
          <w:p w:rsidR="00740658" w:rsidRPr="003C6F39" w:rsidRDefault="00740658" w:rsidP="00740658">
            <w:pPr>
              <w:rPr>
                <w:sz w:val="16"/>
                <w:szCs w:val="16"/>
                <w:lang w:val="en-US"/>
              </w:rPr>
            </w:pPr>
          </w:p>
          <w:p w:rsidR="00740658" w:rsidRPr="003C6F39" w:rsidRDefault="00740658" w:rsidP="00740658">
            <w:pPr>
              <w:jc w:val="center"/>
              <w:rPr>
                <w:sz w:val="16"/>
                <w:szCs w:val="16"/>
                <w:lang w:val="en-US"/>
              </w:rPr>
            </w:pPr>
            <w:r w:rsidRPr="003C6F39">
              <w:rPr>
                <w:sz w:val="16"/>
                <w:szCs w:val="16"/>
                <w:lang w:val="en-US"/>
              </w:rPr>
              <w:t>3         5,9</w:t>
            </w:r>
          </w:p>
          <w:p w:rsidR="00740658" w:rsidRPr="003C6F39" w:rsidRDefault="00740658" w:rsidP="00740658">
            <w:pPr>
              <w:jc w:val="center"/>
              <w:rPr>
                <w:sz w:val="16"/>
                <w:szCs w:val="16"/>
                <w:lang w:val="en-US"/>
              </w:rPr>
            </w:pPr>
            <w:r w:rsidRPr="003C6F39">
              <w:rPr>
                <w:sz w:val="16"/>
                <w:szCs w:val="16"/>
                <w:lang w:val="en-US"/>
              </w:rPr>
              <w:t>22       5,1</w:t>
            </w:r>
          </w:p>
          <w:p w:rsidR="00740658" w:rsidRPr="003C6F39" w:rsidRDefault="00740658" w:rsidP="00740658">
            <w:pPr>
              <w:jc w:val="center"/>
              <w:rPr>
                <w:sz w:val="16"/>
                <w:szCs w:val="16"/>
                <w:lang w:val="en-US"/>
              </w:rPr>
            </w:pPr>
            <w:r w:rsidRPr="003C6F39">
              <w:rPr>
                <w:sz w:val="16"/>
                <w:szCs w:val="16"/>
                <w:lang w:val="en-US"/>
              </w:rPr>
              <w:t>19       2,9</w:t>
            </w:r>
          </w:p>
          <w:p w:rsidR="00740658" w:rsidRPr="003C6F39" w:rsidRDefault="00740658" w:rsidP="00740658">
            <w:pPr>
              <w:jc w:val="center"/>
              <w:rPr>
                <w:sz w:val="16"/>
                <w:szCs w:val="16"/>
                <w:lang w:val="en-US"/>
              </w:rPr>
            </w:pPr>
            <w:r w:rsidRPr="003C6F39">
              <w:rPr>
                <w:sz w:val="16"/>
                <w:szCs w:val="16"/>
                <w:lang w:val="en-US"/>
              </w:rPr>
              <w:t>5         3,2</w:t>
            </w:r>
          </w:p>
        </w:tc>
        <w:tc>
          <w:tcPr>
            <w:tcW w:w="1039" w:type="pct"/>
            <w:tcBorders>
              <w:top w:val="single" w:sz="4" w:space="0" w:color="auto"/>
            </w:tcBorders>
          </w:tcPr>
          <w:p w:rsidR="00740658" w:rsidRPr="003C6F39" w:rsidRDefault="00740658" w:rsidP="00740658">
            <w:pPr>
              <w:rPr>
                <w:sz w:val="16"/>
                <w:szCs w:val="16"/>
                <w:lang w:val="en-US"/>
              </w:rPr>
            </w:pPr>
          </w:p>
          <w:p w:rsidR="00740658" w:rsidRPr="003C6F39" w:rsidRDefault="00740658" w:rsidP="00740658">
            <w:pPr>
              <w:jc w:val="center"/>
              <w:rPr>
                <w:sz w:val="16"/>
                <w:szCs w:val="16"/>
                <w:lang w:val="en-US"/>
              </w:rPr>
            </w:pPr>
            <w:r w:rsidRPr="003C6F39">
              <w:rPr>
                <w:sz w:val="16"/>
                <w:szCs w:val="16"/>
              </w:rPr>
              <w:t>2,523</w:t>
            </w:r>
          </w:p>
          <w:p w:rsidR="00740658" w:rsidRPr="003C6F39" w:rsidRDefault="00740658" w:rsidP="00740658">
            <w:pPr>
              <w:jc w:val="center"/>
              <w:rPr>
                <w:sz w:val="16"/>
                <w:szCs w:val="16"/>
                <w:lang w:val="en-US"/>
              </w:rPr>
            </w:pPr>
          </w:p>
          <w:p w:rsidR="00740658" w:rsidRPr="003C6F39" w:rsidRDefault="00740658" w:rsidP="00740658">
            <w:pPr>
              <w:rPr>
                <w:sz w:val="16"/>
                <w:szCs w:val="16"/>
                <w:lang w:val="en-US"/>
              </w:rPr>
            </w:pPr>
          </w:p>
          <w:p w:rsidR="00740658" w:rsidRPr="003C6F39" w:rsidRDefault="00740658" w:rsidP="00740658">
            <w:pPr>
              <w:rPr>
                <w:sz w:val="16"/>
                <w:szCs w:val="16"/>
                <w:lang w:val="en-US"/>
              </w:rPr>
            </w:pPr>
          </w:p>
        </w:tc>
        <w:tc>
          <w:tcPr>
            <w:tcW w:w="1090" w:type="pct"/>
            <w:tcBorders>
              <w:top w:val="single" w:sz="4" w:space="0" w:color="auto"/>
            </w:tcBorders>
          </w:tcPr>
          <w:p w:rsidR="00740658" w:rsidRPr="003C6F39" w:rsidRDefault="00740658" w:rsidP="00740658">
            <w:pPr>
              <w:rPr>
                <w:sz w:val="16"/>
                <w:szCs w:val="16"/>
                <w:lang w:val="en-US"/>
              </w:rPr>
            </w:pPr>
          </w:p>
          <w:p w:rsidR="00740658" w:rsidRPr="003C6F39" w:rsidRDefault="00740658" w:rsidP="00740658">
            <w:pPr>
              <w:jc w:val="center"/>
              <w:rPr>
                <w:sz w:val="16"/>
                <w:szCs w:val="16"/>
                <w:lang w:val="en-US"/>
              </w:rPr>
            </w:pPr>
            <w:r w:rsidRPr="003C6F39">
              <w:rPr>
                <w:sz w:val="16"/>
                <w:szCs w:val="16"/>
              </w:rPr>
              <w:t>0,258</w:t>
            </w:r>
          </w:p>
        </w:tc>
      </w:tr>
      <w:tr w:rsidR="00740658" w:rsidRPr="003C6F39" w:rsidTr="00740658">
        <w:tc>
          <w:tcPr>
            <w:tcW w:w="1209" w:type="pct"/>
            <w:tcBorders>
              <w:top w:val="single" w:sz="4" w:space="0" w:color="auto"/>
            </w:tcBorders>
          </w:tcPr>
          <w:p w:rsidR="00740658" w:rsidRPr="003C6F39" w:rsidRDefault="00740658" w:rsidP="00740658">
            <w:pPr>
              <w:rPr>
                <w:b/>
                <w:sz w:val="16"/>
                <w:szCs w:val="16"/>
                <w:lang w:val="en-US"/>
              </w:rPr>
            </w:pPr>
            <w:r w:rsidRPr="003C6F39">
              <w:rPr>
                <w:b/>
                <w:sz w:val="16"/>
                <w:szCs w:val="16"/>
                <w:lang w:val="en-US"/>
              </w:rPr>
              <w:t>Loss of year</w:t>
            </w:r>
          </w:p>
          <w:p w:rsidR="00740658" w:rsidRPr="003C6F39" w:rsidRDefault="00740658" w:rsidP="00740658">
            <w:pPr>
              <w:jc w:val="center"/>
              <w:rPr>
                <w:sz w:val="16"/>
                <w:szCs w:val="16"/>
                <w:lang w:val="en-US"/>
              </w:rPr>
            </w:pPr>
            <w:r w:rsidRPr="003C6F39">
              <w:rPr>
                <w:sz w:val="16"/>
                <w:szCs w:val="16"/>
                <w:lang w:val="en-US"/>
              </w:rPr>
              <w:t>Yes</w:t>
            </w:r>
          </w:p>
          <w:p w:rsidR="00740658" w:rsidRPr="003C6F39" w:rsidRDefault="00740658" w:rsidP="00740658">
            <w:pPr>
              <w:jc w:val="center"/>
              <w:rPr>
                <w:sz w:val="16"/>
                <w:szCs w:val="16"/>
                <w:lang w:val="en-US"/>
              </w:rPr>
            </w:pPr>
            <w:r w:rsidRPr="003C6F39">
              <w:rPr>
                <w:sz w:val="16"/>
                <w:szCs w:val="16"/>
                <w:lang w:val="en-US"/>
              </w:rPr>
              <w:t>No</w:t>
            </w:r>
          </w:p>
        </w:tc>
        <w:tc>
          <w:tcPr>
            <w:tcW w:w="806" w:type="pct"/>
            <w:tcBorders>
              <w:top w:val="single" w:sz="4" w:space="0" w:color="auto"/>
            </w:tcBorders>
          </w:tcPr>
          <w:p w:rsidR="00740658" w:rsidRPr="003C6F39" w:rsidRDefault="00740658" w:rsidP="00740658">
            <w:pPr>
              <w:jc w:val="center"/>
              <w:rPr>
                <w:sz w:val="16"/>
                <w:szCs w:val="16"/>
                <w:lang w:val="en-US"/>
              </w:rPr>
            </w:pPr>
          </w:p>
          <w:p w:rsidR="00740658" w:rsidRPr="003C6F39" w:rsidRDefault="00740658" w:rsidP="00740658">
            <w:pPr>
              <w:jc w:val="center"/>
              <w:rPr>
                <w:sz w:val="16"/>
                <w:szCs w:val="16"/>
                <w:lang w:val="en-US"/>
              </w:rPr>
            </w:pPr>
            <w:r w:rsidRPr="003C6F39">
              <w:rPr>
                <w:sz w:val="16"/>
                <w:szCs w:val="16"/>
                <w:lang w:val="en-US"/>
              </w:rPr>
              <w:t>1058     96,6</w:t>
            </w:r>
          </w:p>
          <w:p w:rsidR="00740658" w:rsidRPr="003C6F39" w:rsidRDefault="00740658" w:rsidP="00740658">
            <w:pPr>
              <w:jc w:val="center"/>
              <w:rPr>
                <w:sz w:val="16"/>
                <w:szCs w:val="16"/>
                <w:lang w:val="en-US"/>
              </w:rPr>
            </w:pPr>
            <w:r w:rsidRPr="003C6F39">
              <w:rPr>
                <w:sz w:val="16"/>
                <w:szCs w:val="16"/>
                <w:lang w:val="en-US"/>
              </w:rPr>
              <w:t>197       94,3</w:t>
            </w:r>
          </w:p>
        </w:tc>
        <w:tc>
          <w:tcPr>
            <w:tcW w:w="856" w:type="pct"/>
            <w:tcBorders>
              <w:top w:val="single" w:sz="4" w:space="0" w:color="auto"/>
            </w:tcBorders>
          </w:tcPr>
          <w:p w:rsidR="00740658" w:rsidRPr="003C6F39" w:rsidRDefault="00740658" w:rsidP="00740658">
            <w:pPr>
              <w:jc w:val="center"/>
              <w:rPr>
                <w:sz w:val="16"/>
                <w:szCs w:val="16"/>
                <w:lang w:val="en-US"/>
              </w:rPr>
            </w:pPr>
          </w:p>
          <w:p w:rsidR="00740658" w:rsidRPr="003C6F39" w:rsidRDefault="00740658" w:rsidP="00740658">
            <w:pPr>
              <w:jc w:val="center"/>
              <w:rPr>
                <w:sz w:val="16"/>
                <w:szCs w:val="16"/>
                <w:lang w:val="en-US"/>
              </w:rPr>
            </w:pPr>
            <w:r w:rsidRPr="003C6F39">
              <w:rPr>
                <w:sz w:val="16"/>
                <w:szCs w:val="16"/>
                <w:lang w:val="en-US"/>
              </w:rPr>
              <w:t>37      3,4</w:t>
            </w:r>
          </w:p>
          <w:p w:rsidR="00740658" w:rsidRPr="003C6F39" w:rsidRDefault="00740658" w:rsidP="00740658">
            <w:pPr>
              <w:jc w:val="center"/>
              <w:rPr>
                <w:sz w:val="16"/>
                <w:szCs w:val="16"/>
                <w:lang w:val="en-US"/>
              </w:rPr>
            </w:pPr>
            <w:r w:rsidRPr="003C6F39">
              <w:rPr>
                <w:sz w:val="16"/>
                <w:szCs w:val="16"/>
                <w:lang w:val="en-US"/>
              </w:rPr>
              <w:t>12      5,7</w:t>
            </w:r>
          </w:p>
        </w:tc>
        <w:tc>
          <w:tcPr>
            <w:tcW w:w="1039" w:type="pct"/>
            <w:tcBorders>
              <w:top w:val="single" w:sz="4" w:space="0" w:color="auto"/>
            </w:tcBorders>
          </w:tcPr>
          <w:p w:rsidR="00740658" w:rsidRPr="003C6F39" w:rsidRDefault="00740658" w:rsidP="00740658">
            <w:pPr>
              <w:jc w:val="center"/>
              <w:rPr>
                <w:sz w:val="16"/>
                <w:szCs w:val="16"/>
                <w:lang w:val="en-US"/>
              </w:rPr>
            </w:pPr>
          </w:p>
          <w:p w:rsidR="00740658" w:rsidRPr="003C6F39" w:rsidRDefault="00740658" w:rsidP="00740658">
            <w:pPr>
              <w:jc w:val="center"/>
              <w:rPr>
                <w:sz w:val="16"/>
                <w:szCs w:val="16"/>
                <w:lang w:val="en-US"/>
              </w:rPr>
            </w:pPr>
            <w:r w:rsidRPr="003C6F39">
              <w:rPr>
                <w:sz w:val="16"/>
                <w:szCs w:val="16"/>
              </w:rPr>
              <w:t>2,709</w:t>
            </w:r>
          </w:p>
        </w:tc>
        <w:tc>
          <w:tcPr>
            <w:tcW w:w="1090" w:type="pct"/>
            <w:tcBorders>
              <w:top w:val="single" w:sz="4" w:space="0" w:color="auto"/>
            </w:tcBorders>
          </w:tcPr>
          <w:p w:rsidR="00740658" w:rsidRPr="003C6F39" w:rsidRDefault="00740658" w:rsidP="00740658">
            <w:pPr>
              <w:jc w:val="center"/>
              <w:rPr>
                <w:sz w:val="16"/>
                <w:szCs w:val="16"/>
                <w:lang w:val="en-US"/>
              </w:rPr>
            </w:pPr>
          </w:p>
          <w:p w:rsidR="00740658" w:rsidRPr="003C6F39" w:rsidRDefault="00740658" w:rsidP="00740658">
            <w:pPr>
              <w:jc w:val="center"/>
              <w:rPr>
                <w:sz w:val="16"/>
                <w:szCs w:val="16"/>
                <w:lang w:val="en-US"/>
              </w:rPr>
            </w:pPr>
            <w:r w:rsidRPr="003C6F39">
              <w:rPr>
                <w:sz w:val="16"/>
                <w:szCs w:val="16"/>
              </w:rPr>
              <w:t>0,100</w:t>
            </w:r>
          </w:p>
        </w:tc>
      </w:tr>
      <w:tr w:rsidR="00740658" w:rsidRPr="003C6F39" w:rsidTr="00740658">
        <w:tc>
          <w:tcPr>
            <w:tcW w:w="1209" w:type="pct"/>
            <w:tcBorders>
              <w:top w:val="single" w:sz="4" w:space="0" w:color="auto"/>
            </w:tcBorders>
          </w:tcPr>
          <w:p w:rsidR="00740658" w:rsidRPr="003C6F39" w:rsidRDefault="00740658" w:rsidP="00740658">
            <w:pPr>
              <w:rPr>
                <w:b/>
                <w:sz w:val="16"/>
                <w:szCs w:val="16"/>
                <w:lang w:val="en-US"/>
              </w:rPr>
            </w:pPr>
            <w:r w:rsidRPr="003C6F39">
              <w:rPr>
                <w:b/>
                <w:sz w:val="16"/>
                <w:szCs w:val="16"/>
                <w:lang w:val="en-US"/>
              </w:rPr>
              <w:t>Mother’s</w:t>
            </w:r>
            <w:r>
              <w:rPr>
                <w:b/>
                <w:sz w:val="16"/>
                <w:szCs w:val="16"/>
                <w:lang w:val="en-US"/>
              </w:rPr>
              <w:t xml:space="preserve"> level of </w:t>
            </w:r>
            <w:r w:rsidRPr="003C6F39">
              <w:rPr>
                <w:b/>
                <w:sz w:val="16"/>
                <w:szCs w:val="16"/>
                <w:lang w:val="en-US"/>
              </w:rPr>
              <w:t xml:space="preserve"> education</w:t>
            </w:r>
          </w:p>
          <w:p w:rsidR="00740658" w:rsidRPr="003C6F39" w:rsidRDefault="00740658" w:rsidP="00740658">
            <w:pPr>
              <w:jc w:val="center"/>
              <w:rPr>
                <w:sz w:val="16"/>
                <w:szCs w:val="16"/>
                <w:lang w:val="en-US"/>
              </w:rPr>
            </w:pPr>
            <w:proofErr w:type="spellStart"/>
            <w:r w:rsidRPr="003C6F39">
              <w:rPr>
                <w:sz w:val="16"/>
                <w:szCs w:val="16"/>
                <w:lang w:val="en-US"/>
              </w:rPr>
              <w:t>Illeterate</w:t>
            </w:r>
            <w:proofErr w:type="spellEnd"/>
          </w:p>
          <w:p w:rsidR="00740658" w:rsidRPr="003C6F39" w:rsidRDefault="00740658" w:rsidP="00740658">
            <w:pPr>
              <w:jc w:val="center"/>
              <w:rPr>
                <w:sz w:val="16"/>
                <w:szCs w:val="16"/>
                <w:lang w:val="en-US"/>
              </w:rPr>
            </w:pPr>
            <w:r w:rsidRPr="003C6F39">
              <w:rPr>
                <w:sz w:val="16"/>
                <w:szCs w:val="16"/>
                <w:lang w:val="en-US"/>
              </w:rPr>
              <w:t>Primary school</w:t>
            </w:r>
          </w:p>
          <w:p w:rsidR="00740658" w:rsidRPr="003C6F39" w:rsidRDefault="00740658" w:rsidP="00740658">
            <w:pPr>
              <w:jc w:val="center"/>
              <w:rPr>
                <w:sz w:val="16"/>
                <w:szCs w:val="16"/>
                <w:lang w:val="en-US"/>
              </w:rPr>
            </w:pPr>
            <w:r w:rsidRPr="003C6F39">
              <w:rPr>
                <w:sz w:val="16"/>
                <w:szCs w:val="16"/>
                <w:lang w:val="en-US"/>
              </w:rPr>
              <w:t>Secondary school</w:t>
            </w:r>
          </w:p>
          <w:p w:rsidR="00740658" w:rsidRPr="003C6F39" w:rsidRDefault="00740658" w:rsidP="00740658">
            <w:pPr>
              <w:jc w:val="center"/>
              <w:rPr>
                <w:sz w:val="16"/>
                <w:szCs w:val="16"/>
                <w:lang w:val="en-US"/>
              </w:rPr>
            </w:pPr>
            <w:r w:rsidRPr="003C6F39">
              <w:rPr>
                <w:sz w:val="16"/>
                <w:szCs w:val="16"/>
                <w:lang w:val="en-US"/>
              </w:rPr>
              <w:t>High school</w:t>
            </w:r>
          </w:p>
          <w:p w:rsidR="00740658" w:rsidRPr="003C6F39" w:rsidRDefault="00740658" w:rsidP="00740658">
            <w:pPr>
              <w:jc w:val="center"/>
              <w:rPr>
                <w:sz w:val="16"/>
                <w:szCs w:val="16"/>
                <w:lang w:val="en-US"/>
              </w:rPr>
            </w:pPr>
            <w:r w:rsidRPr="003C6F39">
              <w:rPr>
                <w:sz w:val="16"/>
                <w:szCs w:val="16"/>
                <w:lang w:val="en-US"/>
              </w:rPr>
              <w:t>University</w:t>
            </w:r>
          </w:p>
        </w:tc>
        <w:tc>
          <w:tcPr>
            <w:tcW w:w="806" w:type="pct"/>
            <w:tcBorders>
              <w:top w:val="single" w:sz="4" w:space="0" w:color="auto"/>
            </w:tcBorders>
          </w:tcPr>
          <w:p w:rsidR="00740658" w:rsidRPr="003C6F39" w:rsidRDefault="00740658" w:rsidP="00740658">
            <w:pPr>
              <w:rPr>
                <w:sz w:val="16"/>
                <w:szCs w:val="16"/>
                <w:lang w:val="en-US"/>
              </w:rPr>
            </w:pPr>
          </w:p>
          <w:p w:rsidR="00740658" w:rsidRPr="003C6F39" w:rsidRDefault="00740658" w:rsidP="00740658">
            <w:pPr>
              <w:jc w:val="center"/>
              <w:rPr>
                <w:sz w:val="16"/>
                <w:szCs w:val="16"/>
                <w:lang w:val="en-US"/>
              </w:rPr>
            </w:pPr>
            <w:r w:rsidRPr="003C6F39">
              <w:rPr>
                <w:sz w:val="16"/>
                <w:szCs w:val="16"/>
                <w:lang w:val="en-US"/>
              </w:rPr>
              <w:t>64        92,2</w:t>
            </w:r>
          </w:p>
          <w:p w:rsidR="00740658" w:rsidRPr="003C6F39" w:rsidRDefault="00740658" w:rsidP="00740658">
            <w:pPr>
              <w:jc w:val="center"/>
              <w:rPr>
                <w:sz w:val="16"/>
                <w:szCs w:val="16"/>
                <w:lang w:val="en-US"/>
              </w:rPr>
            </w:pPr>
            <w:r w:rsidRPr="003C6F39">
              <w:rPr>
                <w:sz w:val="16"/>
                <w:szCs w:val="16"/>
                <w:lang w:val="en-US"/>
              </w:rPr>
              <w:t>319      97,3</w:t>
            </w:r>
          </w:p>
          <w:p w:rsidR="00740658" w:rsidRPr="003C6F39" w:rsidRDefault="00740658" w:rsidP="00740658">
            <w:pPr>
              <w:jc w:val="center"/>
              <w:rPr>
                <w:sz w:val="16"/>
                <w:szCs w:val="16"/>
                <w:lang w:val="en-US"/>
              </w:rPr>
            </w:pPr>
            <w:r w:rsidRPr="003C6F39">
              <w:rPr>
                <w:sz w:val="16"/>
                <w:szCs w:val="16"/>
                <w:lang w:val="en-US"/>
              </w:rPr>
              <w:t xml:space="preserve">201      98,0 </w:t>
            </w:r>
          </w:p>
          <w:p w:rsidR="00740658" w:rsidRPr="003C6F39" w:rsidRDefault="00740658" w:rsidP="00740658">
            <w:pPr>
              <w:jc w:val="center"/>
              <w:rPr>
                <w:sz w:val="16"/>
                <w:szCs w:val="16"/>
                <w:lang w:val="en-US"/>
              </w:rPr>
            </w:pPr>
            <w:r w:rsidRPr="003C6F39">
              <w:rPr>
                <w:sz w:val="16"/>
                <w:szCs w:val="16"/>
                <w:lang w:val="en-US"/>
              </w:rPr>
              <w:t>443      95,3</w:t>
            </w:r>
          </w:p>
          <w:p w:rsidR="00740658" w:rsidRPr="003C6F39" w:rsidRDefault="00740658" w:rsidP="00740658">
            <w:pPr>
              <w:jc w:val="center"/>
              <w:rPr>
                <w:sz w:val="16"/>
                <w:szCs w:val="16"/>
                <w:lang w:val="en-US"/>
              </w:rPr>
            </w:pPr>
            <w:r w:rsidRPr="003C6F39">
              <w:rPr>
                <w:sz w:val="16"/>
                <w:szCs w:val="16"/>
                <w:lang w:val="en-US"/>
              </w:rPr>
              <w:t>214      95,1</w:t>
            </w:r>
          </w:p>
        </w:tc>
        <w:tc>
          <w:tcPr>
            <w:tcW w:w="856" w:type="pct"/>
            <w:tcBorders>
              <w:top w:val="single" w:sz="4" w:space="0" w:color="auto"/>
            </w:tcBorders>
          </w:tcPr>
          <w:p w:rsidR="00740658" w:rsidRPr="003C6F39" w:rsidRDefault="00740658" w:rsidP="00740658">
            <w:pPr>
              <w:jc w:val="center"/>
              <w:rPr>
                <w:sz w:val="16"/>
                <w:szCs w:val="16"/>
                <w:lang w:val="en-US"/>
              </w:rPr>
            </w:pPr>
          </w:p>
          <w:p w:rsidR="00740658" w:rsidRPr="003C6F39" w:rsidRDefault="00740658" w:rsidP="00740658">
            <w:pPr>
              <w:jc w:val="center"/>
              <w:rPr>
                <w:sz w:val="16"/>
                <w:szCs w:val="16"/>
                <w:lang w:val="en-US"/>
              </w:rPr>
            </w:pPr>
            <w:r w:rsidRPr="003C6F39">
              <w:rPr>
                <w:sz w:val="16"/>
                <w:szCs w:val="16"/>
                <w:lang w:val="en-US"/>
              </w:rPr>
              <w:t>5        7,2</w:t>
            </w:r>
          </w:p>
          <w:p w:rsidR="00740658" w:rsidRPr="003C6F39" w:rsidRDefault="00740658" w:rsidP="00740658">
            <w:pPr>
              <w:jc w:val="center"/>
              <w:rPr>
                <w:sz w:val="16"/>
                <w:szCs w:val="16"/>
                <w:lang w:val="en-US"/>
              </w:rPr>
            </w:pPr>
            <w:r w:rsidRPr="003C6F39">
              <w:rPr>
                <w:sz w:val="16"/>
                <w:szCs w:val="16"/>
                <w:lang w:val="en-US"/>
              </w:rPr>
              <w:t>9        2,7</w:t>
            </w:r>
          </w:p>
          <w:p w:rsidR="00740658" w:rsidRPr="003C6F39" w:rsidRDefault="00740658" w:rsidP="00740658">
            <w:pPr>
              <w:jc w:val="center"/>
              <w:rPr>
                <w:sz w:val="16"/>
                <w:szCs w:val="16"/>
                <w:lang w:val="en-US"/>
              </w:rPr>
            </w:pPr>
            <w:r w:rsidRPr="003C6F39">
              <w:rPr>
                <w:sz w:val="16"/>
                <w:szCs w:val="16"/>
                <w:lang w:val="en-US"/>
              </w:rPr>
              <w:t>4        2,0</w:t>
            </w:r>
          </w:p>
          <w:p w:rsidR="00740658" w:rsidRPr="003C6F39" w:rsidRDefault="00740658" w:rsidP="00740658">
            <w:pPr>
              <w:jc w:val="center"/>
              <w:rPr>
                <w:sz w:val="16"/>
                <w:szCs w:val="16"/>
                <w:lang w:val="en-US"/>
              </w:rPr>
            </w:pPr>
            <w:r w:rsidRPr="003C6F39">
              <w:rPr>
                <w:sz w:val="16"/>
                <w:szCs w:val="16"/>
                <w:lang w:val="en-US"/>
              </w:rPr>
              <w:t>22      4,7</w:t>
            </w:r>
          </w:p>
          <w:p w:rsidR="00740658" w:rsidRPr="003C6F39" w:rsidRDefault="00740658" w:rsidP="00740658">
            <w:pPr>
              <w:jc w:val="center"/>
              <w:rPr>
                <w:sz w:val="16"/>
                <w:szCs w:val="16"/>
                <w:lang w:val="en-US"/>
              </w:rPr>
            </w:pPr>
            <w:r w:rsidRPr="003C6F39">
              <w:rPr>
                <w:sz w:val="16"/>
                <w:szCs w:val="16"/>
                <w:lang w:val="en-US"/>
              </w:rPr>
              <w:t>11      4,9</w:t>
            </w:r>
          </w:p>
        </w:tc>
        <w:tc>
          <w:tcPr>
            <w:tcW w:w="1039" w:type="pct"/>
            <w:tcBorders>
              <w:top w:val="single" w:sz="4" w:space="0" w:color="auto"/>
            </w:tcBorders>
          </w:tcPr>
          <w:p w:rsidR="00740658" w:rsidRPr="003C6F39" w:rsidRDefault="00740658" w:rsidP="00740658">
            <w:pPr>
              <w:jc w:val="center"/>
              <w:rPr>
                <w:sz w:val="16"/>
                <w:szCs w:val="16"/>
                <w:lang w:val="en-US"/>
              </w:rPr>
            </w:pPr>
          </w:p>
          <w:p w:rsidR="00740658" w:rsidRPr="003C6F39" w:rsidRDefault="00740658" w:rsidP="00740658">
            <w:pPr>
              <w:jc w:val="center"/>
              <w:rPr>
                <w:sz w:val="16"/>
                <w:szCs w:val="16"/>
              </w:rPr>
            </w:pPr>
            <w:r w:rsidRPr="003C6F39">
              <w:rPr>
                <w:sz w:val="16"/>
                <w:szCs w:val="16"/>
              </w:rPr>
              <w:t>6,667</w:t>
            </w:r>
          </w:p>
          <w:p w:rsidR="00740658" w:rsidRPr="003C6F39" w:rsidRDefault="00740658" w:rsidP="00740658">
            <w:pPr>
              <w:jc w:val="center"/>
              <w:rPr>
                <w:sz w:val="16"/>
                <w:szCs w:val="16"/>
                <w:lang w:val="en-US"/>
              </w:rPr>
            </w:pPr>
          </w:p>
        </w:tc>
        <w:tc>
          <w:tcPr>
            <w:tcW w:w="1090" w:type="pct"/>
            <w:tcBorders>
              <w:top w:val="single" w:sz="4" w:space="0" w:color="auto"/>
            </w:tcBorders>
          </w:tcPr>
          <w:p w:rsidR="00740658" w:rsidRPr="003C6F39" w:rsidRDefault="00740658" w:rsidP="00740658">
            <w:pPr>
              <w:jc w:val="center"/>
              <w:rPr>
                <w:sz w:val="16"/>
                <w:szCs w:val="16"/>
                <w:lang w:val="en-US"/>
              </w:rPr>
            </w:pPr>
          </w:p>
          <w:p w:rsidR="00740658" w:rsidRPr="003C6F39" w:rsidRDefault="00740658" w:rsidP="00740658">
            <w:pPr>
              <w:jc w:val="center"/>
              <w:rPr>
                <w:sz w:val="16"/>
                <w:szCs w:val="16"/>
                <w:lang w:val="en-US"/>
              </w:rPr>
            </w:pPr>
            <w:r w:rsidRPr="003C6F39">
              <w:rPr>
                <w:sz w:val="16"/>
                <w:szCs w:val="16"/>
              </w:rPr>
              <w:t>0,155</w:t>
            </w:r>
          </w:p>
        </w:tc>
      </w:tr>
      <w:tr w:rsidR="00740658" w:rsidRPr="003C6F39" w:rsidTr="00740658">
        <w:tc>
          <w:tcPr>
            <w:tcW w:w="1209" w:type="pct"/>
            <w:tcBorders>
              <w:top w:val="single" w:sz="4" w:space="0" w:color="auto"/>
            </w:tcBorders>
          </w:tcPr>
          <w:p w:rsidR="00740658" w:rsidRPr="003C6F39" w:rsidRDefault="00740658" w:rsidP="00740658">
            <w:pPr>
              <w:rPr>
                <w:b/>
                <w:sz w:val="16"/>
                <w:szCs w:val="16"/>
                <w:lang w:val="en-US"/>
              </w:rPr>
            </w:pPr>
            <w:r w:rsidRPr="003C6F39">
              <w:rPr>
                <w:b/>
                <w:sz w:val="16"/>
                <w:szCs w:val="16"/>
                <w:lang w:val="en-US"/>
              </w:rPr>
              <w:t xml:space="preserve">Father’s </w:t>
            </w:r>
            <w:r>
              <w:rPr>
                <w:b/>
                <w:sz w:val="16"/>
                <w:szCs w:val="16"/>
                <w:lang w:val="en-US"/>
              </w:rPr>
              <w:t xml:space="preserve">level of </w:t>
            </w:r>
            <w:r w:rsidRPr="003C6F39">
              <w:rPr>
                <w:b/>
                <w:sz w:val="16"/>
                <w:szCs w:val="16"/>
                <w:lang w:val="en-US"/>
              </w:rPr>
              <w:t>education</w:t>
            </w:r>
          </w:p>
          <w:p w:rsidR="00740658" w:rsidRPr="003C6F39" w:rsidRDefault="00740658" w:rsidP="00740658">
            <w:pPr>
              <w:jc w:val="center"/>
              <w:rPr>
                <w:sz w:val="16"/>
                <w:szCs w:val="16"/>
                <w:lang w:val="en-US"/>
              </w:rPr>
            </w:pPr>
            <w:proofErr w:type="spellStart"/>
            <w:r w:rsidRPr="003C6F39">
              <w:rPr>
                <w:sz w:val="16"/>
                <w:szCs w:val="16"/>
                <w:lang w:val="en-US"/>
              </w:rPr>
              <w:t>Illeterate</w:t>
            </w:r>
            <w:proofErr w:type="spellEnd"/>
          </w:p>
          <w:p w:rsidR="00740658" w:rsidRPr="003C6F39" w:rsidRDefault="00740658" w:rsidP="00740658">
            <w:pPr>
              <w:jc w:val="center"/>
              <w:rPr>
                <w:sz w:val="16"/>
                <w:szCs w:val="16"/>
                <w:lang w:val="en-US"/>
              </w:rPr>
            </w:pPr>
            <w:r w:rsidRPr="003C6F39">
              <w:rPr>
                <w:sz w:val="16"/>
                <w:szCs w:val="16"/>
                <w:lang w:val="en-US"/>
              </w:rPr>
              <w:t>Primary school</w:t>
            </w:r>
          </w:p>
          <w:p w:rsidR="00740658" w:rsidRPr="003C6F39" w:rsidRDefault="00740658" w:rsidP="00740658">
            <w:pPr>
              <w:jc w:val="center"/>
              <w:rPr>
                <w:sz w:val="16"/>
                <w:szCs w:val="16"/>
                <w:lang w:val="en-US"/>
              </w:rPr>
            </w:pPr>
            <w:r w:rsidRPr="003C6F39">
              <w:rPr>
                <w:sz w:val="16"/>
                <w:szCs w:val="16"/>
                <w:lang w:val="en-US"/>
              </w:rPr>
              <w:t>Secondary school</w:t>
            </w:r>
          </w:p>
          <w:p w:rsidR="00740658" w:rsidRPr="003C6F39" w:rsidRDefault="00740658" w:rsidP="00740658">
            <w:pPr>
              <w:jc w:val="center"/>
              <w:rPr>
                <w:sz w:val="16"/>
                <w:szCs w:val="16"/>
                <w:lang w:val="en-US"/>
              </w:rPr>
            </w:pPr>
            <w:r w:rsidRPr="003C6F39">
              <w:rPr>
                <w:sz w:val="16"/>
                <w:szCs w:val="16"/>
                <w:lang w:val="en-US"/>
              </w:rPr>
              <w:t>High school</w:t>
            </w:r>
          </w:p>
          <w:p w:rsidR="00740658" w:rsidRPr="003C6F39" w:rsidRDefault="00740658" w:rsidP="00740658">
            <w:pPr>
              <w:jc w:val="center"/>
              <w:rPr>
                <w:sz w:val="16"/>
                <w:szCs w:val="16"/>
                <w:lang w:val="en-US"/>
              </w:rPr>
            </w:pPr>
            <w:r w:rsidRPr="003C6F39">
              <w:rPr>
                <w:sz w:val="16"/>
                <w:szCs w:val="16"/>
                <w:lang w:val="en-US"/>
              </w:rPr>
              <w:t>University</w:t>
            </w:r>
          </w:p>
        </w:tc>
        <w:tc>
          <w:tcPr>
            <w:tcW w:w="806" w:type="pct"/>
            <w:tcBorders>
              <w:top w:val="single" w:sz="4" w:space="0" w:color="auto"/>
            </w:tcBorders>
          </w:tcPr>
          <w:p w:rsidR="00740658" w:rsidRPr="003C6F39" w:rsidRDefault="00740658" w:rsidP="00740658">
            <w:pPr>
              <w:jc w:val="center"/>
              <w:rPr>
                <w:sz w:val="16"/>
                <w:szCs w:val="16"/>
                <w:lang w:val="en-US"/>
              </w:rPr>
            </w:pPr>
          </w:p>
          <w:p w:rsidR="00740658" w:rsidRPr="003C6F39" w:rsidRDefault="00740658" w:rsidP="00740658">
            <w:pPr>
              <w:jc w:val="center"/>
              <w:rPr>
                <w:sz w:val="16"/>
                <w:szCs w:val="16"/>
                <w:lang w:val="en-US"/>
              </w:rPr>
            </w:pPr>
            <w:r w:rsidRPr="003C6F39">
              <w:rPr>
                <w:sz w:val="16"/>
                <w:szCs w:val="16"/>
                <w:lang w:val="en-US"/>
              </w:rPr>
              <w:t>39        92,9</w:t>
            </w:r>
          </w:p>
          <w:p w:rsidR="00740658" w:rsidRPr="003C6F39" w:rsidRDefault="00740658" w:rsidP="00740658">
            <w:pPr>
              <w:jc w:val="center"/>
              <w:rPr>
                <w:sz w:val="16"/>
                <w:szCs w:val="16"/>
                <w:lang w:val="en-US"/>
              </w:rPr>
            </w:pPr>
            <w:r w:rsidRPr="003C6F39">
              <w:rPr>
                <w:sz w:val="16"/>
                <w:szCs w:val="16"/>
                <w:lang w:val="en-US"/>
              </w:rPr>
              <w:t>280      97,2</w:t>
            </w:r>
          </w:p>
          <w:p w:rsidR="00740658" w:rsidRPr="003C6F39" w:rsidRDefault="00740658" w:rsidP="00740658">
            <w:pPr>
              <w:jc w:val="center"/>
              <w:rPr>
                <w:sz w:val="16"/>
                <w:szCs w:val="16"/>
                <w:lang w:val="en-US"/>
              </w:rPr>
            </w:pPr>
            <w:r w:rsidRPr="003C6F39">
              <w:rPr>
                <w:sz w:val="16"/>
                <w:szCs w:val="16"/>
                <w:lang w:val="en-US"/>
              </w:rPr>
              <w:t>251      95,8</w:t>
            </w:r>
          </w:p>
          <w:p w:rsidR="00740658" w:rsidRPr="003C6F39" w:rsidRDefault="00740658" w:rsidP="00740658">
            <w:pPr>
              <w:jc w:val="center"/>
              <w:rPr>
                <w:sz w:val="16"/>
                <w:szCs w:val="16"/>
                <w:lang w:val="en-US"/>
              </w:rPr>
            </w:pPr>
            <w:r w:rsidRPr="003C6F39">
              <w:rPr>
                <w:sz w:val="16"/>
                <w:szCs w:val="16"/>
                <w:lang w:val="en-US"/>
              </w:rPr>
              <w:t>438      95,8</w:t>
            </w:r>
          </w:p>
          <w:p w:rsidR="00740658" w:rsidRPr="003C6F39" w:rsidRDefault="00740658" w:rsidP="00740658">
            <w:pPr>
              <w:jc w:val="center"/>
              <w:rPr>
                <w:sz w:val="16"/>
                <w:szCs w:val="16"/>
                <w:lang w:val="en-US"/>
              </w:rPr>
            </w:pPr>
            <w:r w:rsidRPr="003C6F39">
              <w:rPr>
                <w:sz w:val="16"/>
                <w:szCs w:val="16"/>
                <w:lang w:val="en-US"/>
              </w:rPr>
              <w:t>227      95,1</w:t>
            </w:r>
          </w:p>
        </w:tc>
        <w:tc>
          <w:tcPr>
            <w:tcW w:w="856" w:type="pct"/>
            <w:tcBorders>
              <w:top w:val="single" w:sz="4" w:space="0" w:color="auto"/>
            </w:tcBorders>
          </w:tcPr>
          <w:p w:rsidR="00740658" w:rsidRPr="003C6F39" w:rsidRDefault="00740658" w:rsidP="00740658">
            <w:pPr>
              <w:jc w:val="center"/>
              <w:rPr>
                <w:sz w:val="16"/>
                <w:szCs w:val="16"/>
                <w:lang w:val="en-US"/>
              </w:rPr>
            </w:pPr>
          </w:p>
          <w:p w:rsidR="00740658" w:rsidRPr="003C6F39" w:rsidRDefault="00740658" w:rsidP="00740658">
            <w:pPr>
              <w:jc w:val="center"/>
              <w:rPr>
                <w:sz w:val="16"/>
                <w:szCs w:val="16"/>
                <w:lang w:val="en-US"/>
              </w:rPr>
            </w:pPr>
            <w:r w:rsidRPr="003C6F39">
              <w:rPr>
                <w:sz w:val="16"/>
                <w:szCs w:val="16"/>
                <w:lang w:val="en-US"/>
              </w:rPr>
              <w:t>3        7,2</w:t>
            </w:r>
          </w:p>
          <w:p w:rsidR="00740658" w:rsidRPr="003C6F39" w:rsidRDefault="00740658" w:rsidP="00740658">
            <w:pPr>
              <w:jc w:val="center"/>
              <w:rPr>
                <w:sz w:val="16"/>
                <w:szCs w:val="16"/>
                <w:lang w:val="en-US"/>
              </w:rPr>
            </w:pPr>
            <w:r w:rsidRPr="003C6F39">
              <w:rPr>
                <w:sz w:val="16"/>
                <w:szCs w:val="16"/>
                <w:lang w:val="en-US"/>
              </w:rPr>
              <w:t>9        2,7</w:t>
            </w:r>
          </w:p>
          <w:p w:rsidR="00740658" w:rsidRPr="003C6F39" w:rsidRDefault="00740658" w:rsidP="00740658">
            <w:pPr>
              <w:jc w:val="center"/>
              <w:rPr>
                <w:sz w:val="16"/>
                <w:szCs w:val="16"/>
                <w:lang w:val="en-US"/>
              </w:rPr>
            </w:pPr>
            <w:r w:rsidRPr="003C6F39">
              <w:rPr>
                <w:sz w:val="16"/>
                <w:szCs w:val="16"/>
                <w:lang w:val="en-US"/>
              </w:rPr>
              <w:t>4        2,0</w:t>
            </w:r>
          </w:p>
          <w:p w:rsidR="00740658" w:rsidRPr="003C6F39" w:rsidRDefault="00740658" w:rsidP="00740658">
            <w:pPr>
              <w:jc w:val="center"/>
              <w:rPr>
                <w:sz w:val="16"/>
                <w:szCs w:val="16"/>
                <w:lang w:val="en-US"/>
              </w:rPr>
            </w:pPr>
            <w:r w:rsidRPr="003C6F39">
              <w:rPr>
                <w:sz w:val="16"/>
                <w:szCs w:val="16"/>
                <w:lang w:val="en-US"/>
              </w:rPr>
              <w:t>22      4,7</w:t>
            </w:r>
          </w:p>
          <w:p w:rsidR="00740658" w:rsidRPr="003C6F39" w:rsidRDefault="00740658" w:rsidP="00740658">
            <w:pPr>
              <w:jc w:val="center"/>
              <w:rPr>
                <w:sz w:val="16"/>
                <w:szCs w:val="16"/>
                <w:lang w:val="en-US"/>
              </w:rPr>
            </w:pPr>
            <w:r w:rsidRPr="003C6F39">
              <w:rPr>
                <w:sz w:val="16"/>
                <w:szCs w:val="16"/>
                <w:lang w:val="en-US"/>
              </w:rPr>
              <w:t>11      4,9</w:t>
            </w:r>
          </w:p>
        </w:tc>
        <w:tc>
          <w:tcPr>
            <w:tcW w:w="1039" w:type="pct"/>
            <w:tcBorders>
              <w:top w:val="single" w:sz="4" w:space="0" w:color="auto"/>
            </w:tcBorders>
          </w:tcPr>
          <w:p w:rsidR="00740658" w:rsidRPr="003C6F39" w:rsidRDefault="00740658" w:rsidP="00740658">
            <w:pPr>
              <w:jc w:val="center"/>
              <w:rPr>
                <w:sz w:val="16"/>
                <w:szCs w:val="16"/>
                <w:lang w:val="en-US"/>
              </w:rPr>
            </w:pPr>
          </w:p>
          <w:p w:rsidR="00740658" w:rsidRPr="003C6F39" w:rsidRDefault="00740658" w:rsidP="00740658">
            <w:pPr>
              <w:jc w:val="center"/>
              <w:rPr>
                <w:sz w:val="16"/>
                <w:szCs w:val="16"/>
                <w:lang w:val="en-US"/>
              </w:rPr>
            </w:pPr>
            <w:r w:rsidRPr="003C6F39">
              <w:rPr>
                <w:sz w:val="16"/>
                <w:szCs w:val="16"/>
              </w:rPr>
              <w:t>2,302</w:t>
            </w:r>
          </w:p>
        </w:tc>
        <w:tc>
          <w:tcPr>
            <w:tcW w:w="1090" w:type="pct"/>
            <w:tcBorders>
              <w:top w:val="single" w:sz="4" w:space="0" w:color="auto"/>
            </w:tcBorders>
          </w:tcPr>
          <w:p w:rsidR="00740658" w:rsidRPr="003C6F39" w:rsidRDefault="00740658" w:rsidP="00740658">
            <w:pPr>
              <w:jc w:val="center"/>
              <w:rPr>
                <w:sz w:val="16"/>
                <w:szCs w:val="16"/>
                <w:lang w:val="en-US"/>
              </w:rPr>
            </w:pPr>
          </w:p>
          <w:p w:rsidR="00740658" w:rsidRPr="003C6F39" w:rsidRDefault="00740658" w:rsidP="00740658">
            <w:pPr>
              <w:jc w:val="center"/>
              <w:rPr>
                <w:sz w:val="16"/>
                <w:szCs w:val="16"/>
                <w:lang w:val="en-US"/>
              </w:rPr>
            </w:pPr>
            <w:r w:rsidRPr="003C6F39">
              <w:rPr>
                <w:sz w:val="16"/>
                <w:szCs w:val="16"/>
              </w:rPr>
              <w:t>0,630</w:t>
            </w:r>
          </w:p>
        </w:tc>
      </w:tr>
      <w:tr w:rsidR="00740658" w:rsidRPr="003C6F39" w:rsidTr="00740658">
        <w:tc>
          <w:tcPr>
            <w:tcW w:w="1209" w:type="pct"/>
            <w:tcBorders>
              <w:top w:val="single" w:sz="4" w:space="0" w:color="auto"/>
            </w:tcBorders>
          </w:tcPr>
          <w:p w:rsidR="00740658" w:rsidRPr="003C6F39" w:rsidRDefault="00740658" w:rsidP="00740658">
            <w:pPr>
              <w:rPr>
                <w:sz w:val="16"/>
                <w:szCs w:val="16"/>
                <w:lang w:val="en-US"/>
              </w:rPr>
            </w:pPr>
            <w:r w:rsidRPr="003C6F39">
              <w:rPr>
                <w:b/>
                <w:sz w:val="16"/>
                <w:szCs w:val="16"/>
                <w:lang w:val="en-US"/>
              </w:rPr>
              <w:lastRenderedPageBreak/>
              <w:t>Smoking</w:t>
            </w:r>
          </w:p>
          <w:p w:rsidR="00740658" w:rsidRPr="003C6F39" w:rsidRDefault="00740658" w:rsidP="00740658">
            <w:pPr>
              <w:jc w:val="center"/>
              <w:rPr>
                <w:sz w:val="16"/>
                <w:szCs w:val="16"/>
                <w:lang w:val="en-US"/>
              </w:rPr>
            </w:pPr>
            <w:r w:rsidRPr="003C6F39">
              <w:rPr>
                <w:sz w:val="16"/>
                <w:szCs w:val="16"/>
                <w:lang w:val="en-US"/>
              </w:rPr>
              <w:t>Once a week or less</w:t>
            </w:r>
          </w:p>
          <w:p w:rsidR="00740658" w:rsidRPr="003C6F39" w:rsidRDefault="00740658" w:rsidP="00740658">
            <w:pPr>
              <w:jc w:val="center"/>
              <w:rPr>
                <w:sz w:val="16"/>
                <w:szCs w:val="16"/>
                <w:lang w:val="en-US"/>
              </w:rPr>
            </w:pPr>
            <w:r w:rsidRPr="003C6F39">
              <w:rPr>
                <w:sz w:val="16"/>
                <w:szCs w:val="16"/>
                <w:lang w:val="en-US"/>
              </w:rPr>
              <w:t>More than once a day</w:t>
            </w:r>
          </w:p>
        </w:tc>
        <w:tc>
          <w:tcPr>
            <w:tcW w:w="806" w:type="pct"/>
            <w:tcBorders>
              <w:top w:val="single" w:sz="4" w:space="0" w:color="auto"/>
            </w:tcBorders>
          </w:tcPr>
          <w:p w:rsidR="00740658" w:rsidRPr="003C6F39" w:rsidRDefault="00740658" w:rsidP="00740658">
            <w:pPr>
              <w:jc w:val="center"/>
              <w:rPr>
                <w:sz w:val="16"/>
                <w:szCs w:val="16"/>
                <w:lang w:val="en-US"/>
              </w:rPr>
            </w:pPr>
          </w:p>
          <w:p w:rsidR="00740658" w:rsidRPr="003C6F39" w:rsidRDefault="00740658" w:rsidP="00740658">
            <w:pPr>
              <w:jc w:val="center"/>
              <w:rPr>
                <w:sz w:val="16"/>
                <w:szCs w:val="16"/>
                <w:lang w:val="en-US"/>
              </w:rPr>
            </w:pPr>
            <w:r w:rsidRPr="003C6F39">
              <w:rPr>
                <w:sz w:val="16"/>
                <w:szCs w:val="16"/>
                <w:lang w:val="en-US"/>
              </w:rPr>
              <w:t>1215     96,7</w:t>
            </w:r>
          </w:p>
          <w:p w:rsidR="00740658" w:rsidRPr="003C6F39" w:rsidRDefault="00740658" w:rsidP="00740658">
            <w:pPr>
              <w:jc w:val="center"/>
              <w:rPr>
                <w:sz w:val="16"/>
                <w:szCs w:val="16"/>
                <w:lang w:val="en-US"/>
              </w:rPr>
            </w:pPr>
            <w:r w:rsidRPr="003C6F39">
              <w:rPr>
                <w:sz w:val="16"/>
                <w:szCs w:val="16"/>
                <w:lang w:val="en-US"/>
              </w:rPr>
              <w:t>7           53,8</w:t>
            </w:r>
          </w:p>
        </w:tc>
        <w:tc>
          <w:tcPr>
            <w:tcW w:w="856" w:type="pct"/>
            <w:tcBorders>
              <w:top w:val="single" w:sz="4" w:space="0" w:color="auto"/>
            </w:tcBorders>
          </w:tcPr>
          <w:p w:rsidR="00740658" w:rsidRPr="003C6F39" w:rsidRDefault="00740658" w:rsidP="00740658">
            <w:pPr>
              <w:jc w:val="center"/>
              <w:rPr>
                <w:sz w:val="16"/>
                <w:szCs w:val="16"/>
                <w:lang w:val="en-US"/>
              </w:rPr>
            </w:pPr>
          </w:p>
          <w:p w:rsidR="00740658" w:rsidRPr="003C6F39" w:rsidRDefault="00740658" w:rsidP="00740658">
            <w:pPr>
              <w:jc w:val="center"/>
              <w:rPr>
                <w:sz w:val="16"/>
                <w:szCs w:val="16"/>
                <w:lang w:val="en-US"/>
              </w:rPr>
            </w:pPr>
            <w:r w:rsidRPr="003C6F39">
              <w:rPr>
                <w:sz w:val="16"/>
                <w:szCs w:val="16"/>
                <w:lang w:val="en-US"/>
              </w:rPr>
              <w:t>42     3,3</w:t>
            </w:r>
          </w:p>
          <w:p w:rsidR="00740658" w:rsidRPr="003C6F39" w:rsidRDefault="00740658" w:rsidP="00740658">
            <w:pPr>
              <w:jc w:val="center"/>
              <w:rPr>
                <w:sz w:val="16"/>
                <w:szCs w:val="16"/>
                <w:lang w:val="en-US"/>
              </w:rPr>
            </w:pPr>
            <w:r w:rsidRPr="003C6F39">
              <w:rPr>
                <w:sz w:val="16"/>
                <w:szCs w:val="16"/>
                <w:lang w:val="en-US"/>
              </w:rPr>
              <w:t>6      46,2</w:t>
            </w:r>
          </w:p>
        </w:tc>
        <w:tc>
          <w:tcPr>
            <w:tcW w:w="1039" w:type="pct"/>
            <w:tcBorders>
              <w:top w:val="single" w:sz="4" w:space="0" w:color="auto"/>
            </w:tcBorders>
          </w:tcPr>
          <w:p w:rsidR="00740658" w:rsidRPr="003C6F39" w:rsidRDefault="00740658" w:rsidP="00740658">
            <w:pPr>
              <w:jc w:val="center"/>
              <w:rPr>
                <w:sz w:val="16"/>
                <w:szCs w:val="16"/>
                <w:lang w:val="en-US"/>
              </w:rPr>
            </w:pPr>
          </w:p>
          <w:p w:rsidR="00740658" w:rsidRPr="003C6F39" w:rsidRDefault="00740658" w:rsidP="00740658">
            <w:pPr>
              <w:jc w:val="center"/>
              <w:rPr>
                <w:sz w:val="16"/>
                <w:szCs w:val="16"/>
                <w:lang w:val="en-US"/>
              </w:rPr>
            </w:pPr>
            <w:r w:rsidRPr="003C6F39">
              <w:rPr>
                <w:sz w:val="16"/>
                <w:szCs w:val="16"/>
              </w:rPr>
              <w:t>64,850</w:t>
            </w:r>
          </w:p>
        </w:tc>
        <w:tc>
          <w:tcPr>
            <w:tcW w:w="1090" w:type="pct"/>
            <w:tcBorders>
              <w:top w:val="single" w:sz="4" w:space="0" w:color="auto"/>
            </w:tcBorders>
          </w:tcPr>
          <w:p w:rsidR="00740658" w:rsidRPr="003C6F39" w:rsidRDefault="00740658" w:rsidP="00740658">
            <w:pPr>
              <w:jc w:val="center"/>
              <w:rPr>
                <w:sz w:val="16"/>
                <w:szCs w:val="16"/>
                <w:lang w:val="en-US"/>
              </w:rPr>
            </w:pPr>
          </w:p>
          <w:p w:rsidR="00740658" w:rsidRPr="003C6F39" w:rsidRDefault="00740658" w:rsidP="00740658">
            <w:pPr>
              <w:jc w:val="center"/>
              <w:rPr>
                <w:sz w:val="16"/>
                <w:szCs w:val="16"/>
                <w:lang w:val="en-US"/>
              </w:rPr>
            </w:pPr>
            <w:r w:rsidRPr="003C6F39">
              <w:rPr>
                <w:sz w:val="16"/>
                <w:szCs w:val="16"/>
              </w:rPr>
              <w:t>0,000</w:t>
            </w:r>
          </w:p>
        </w:tc>
      </w:tr>
      <w:tr w:rsidR="00740658" w:rsidRPr="003C6F39" w:rsidTr="00740658">
        <w:tc>
          <w:tcPr>
            <w:tcW w:w="1209" w:type="pct"/>
            <w:tcBorders>
              <w:top w:val="single" w:sz="4" w:space="0" w:color="auto"/>
            </w:tcBorders>
          </w:tcPr>
          <w:p w:rsidR="00740658" w:rsidRPr="003C6F39" w:rsidRDefault="00740658" w:rsidP="00740658">
            <w:pPr>
              <w:rPr>
                <w:b/>
                <w:sz w:val="16"/>
                <w:szCs w:val="16"/>
                <w:lang w:val="en-US"/>
              </w:rPr>
            </w:pPr>
            <w:r w:rsidRPr="003C6F39">
              <w:rPr>
                <w:b/>
                <w:sz w:val="16"/>
                <w:szCs w:val="16"/>
                <w:lang w:val="en-US"/>
              </w:rPr>
              <w:t>Alcohol</w:t>
            </w:r>
          </w:p>
          <w:p w:rsidR="00740658" w:rsidRPr="003C6F39" w:rsidRDefault="00740658" w:rsidP="00740658">
            <w:pPr>
              <w:jc w:val="center"/>
              <w:rPr>
                <w:sz w:val="16"/>
                <w:szCs w:val="16"/>
                <w:lang w:val="en-US"/>
              </w:rPr>
            </w:pPr>
            <w:r w:rsidRPr="003C6F39">
              <w:rPr>
                <w:sz w:val="16"/>
                <w:szCs w:val="16"/>
                <w:lang w:val="en-US"/>
              </w:rPr>
              <w:t>Once a week or less</w:t>
            </w:r>
          </w:p>
          <w:p w:rsidR="00740658" w:rsidRPr="003C6F39" w:rsidRDefault="00740658" w:rsidP="00740658">
            <w:pPr>
              <w:jc w:val="center"/>
              <w:rPr>
                <w:sz w:val="16"/>
                <w:szCs w:val="16"/>
                <w:lang w:val="en-US"/>
              </w:rPr>
            </w:pPr>
            <w:r w:rsidRPr="003C6F39">
              <w:rPr>
                <w:sz w:val="16"/>
                <w:szCs w:val="16"/>
                <w:lang w:val="en-US"/>
              </w:rPr>
              <w:t>More than once a day</w:t>
            </w:r>
            <w:r>
              <w:rPr>
                <w:sz w:val="16"/>
                <w:szCs w:val="16"/>
                <w:lang w:val="en-US"/>
              </w:rPr>
              <w:t xml:space="preserve"> </w:t>
            </w:r>
          </w:p>
        </w:tc>
        <w:tc>
          <w:tcPr>
            <w:tcW w:w="806" w:type="pct"/>
            <w:tcBorders>
              <w:top w:val="single" w:sz="4" w:space="0" w:color="auto"/>
            </w:tcBorders>
          </w:tcPr>
          <w:p w:rsidR="00740658" w:rsidRPr="003C6F39" w:rsidRDefault="00740658" w:rsidP="00740658">
            <w:pPr>
              <w:jc w:val="center"/>
              <w:rPr>
                <w:sz w:val="16"/>
                <w:szCs w:val="16"/>
                <w:lang w:val="en-US"/>
              </w:rPr>
            </w:pPr>
          </w:p>
          <w:p w:rsidR="00740658" w:rsidRPr="003C6F39" w:rsidRDefault="00740658" w:rsidP="00740658">
            <w:pPr>
              <w:jc w:val="center"/>
              <w:rPr>
                <w:sz w:val="16"/>
                <w:szCs w:val="16"/>
                <w:lang w:val="en-US"/>
              </w:rPr>
            </w:pPr>
            <w:r w:rsidRPr="003C6F39">
              <w:rPr>
                <w:sz w:val="16"/>
                <w:szCs w:val="16"/>
                <w:lang w:val="en-US"/>
              </w:rPr>
              <w:t>1139     96,4</w:t>
            </w:r>
          </w:p>
          <w:p w:rsidR="00740658" w:rsidRPr="003C6F39" w:rsidRDefault="00740658" w:rsidP="00740658">
            <w:pPr>
              <w:jc w:val="center"/>
              <w:rPr>
                <w:sz w:val="16"/>
                <w:szCs w:val="16"/>
                <w:lang w:val="en-US"/>
              </w:rPr>
            </w:pPr>
            <w:r w:rsidRPr="003C6F39">
              <w:rPr>
                <w:sz w:val="16"/>
                <w:szCs w:val="16"/>
                <w:lang w:val="en-US"/>
              </w:rPr>
              <w:t>21        72,4</w:t>
            </w:r>
          </w:p>
        </w:tc>
        <w:tc>
          <w:tcPr>
            <w:tcW w:w="856" w:type="pct"/>
            <w:tcBorders>
              <w:top w:val="single" w:sz="4" w:space="0" w:color="auto"/>
            </w:tcBorders>
          </w:tcPr>
          <w:p w:rsidR="00740658" w:rsidRPr="003C6F39" w:rsidRDefault="00740658" w:rsidP="00740658">
            <w:pPr>
              <w:jc w:val="center"/>
              <w:rPr>
                <w:sz w:val="16"/>
                <w:szCs w:val="16"/>
                <w:lang w:val="en-US"/>
              </w:rPr>
            </w:pPr>
          </w:p>
          <w:p w:rsidR="00740658" w:rsidRPr="003C6F39" w:rsidRDefault="00740658" w:rsidP="00740658">
            <w:pPr>
              <w:jc w:val="center"/>
              <w:rPr>
                <w:sz w:val="16"/>
                <w:szCs w:val="16"/>
                <w:lang w:val="en-US"/>
              </w:rPr>
            </w:pPr>
            <w:r w:rsidRPr="003C6F39">
              <w:rPr>
                <w:sz w:val="16"/>
                <w:szCs w:val="16"/>
                <w:lang w:val="en-US"/>
              </w:rPr>
              <w:t>42      3,6</w:t>
            </w:r>
          </w:p>
          <w:p w:rsidR="00740658" w:rsidRPr="003C6F39" w:rsidRDefault="00740658" w:rsidP="00740658">
            <w:pPr>
              <w:jc w:val="center"/>
              <w:rPr>
                <w:sz w:val="16"/>
                <w:szCs w:val="16"/>
                <w:lang w:val="en-US"/>
              </w:rPr>
            </w:pPr>
            <w:r w:rsidRPr="003C6F39">
              <w:rPr>
                <w:sz w:val="16"/>
                <w:szCs w:val="16"/>
                <w:lang w:val="en-US"/>
              </w:rPr>
              <w:t>8       27,6</w:t>
            </w:r>
          </w:p>
        </w:tc>
        <w:tc>
          <w:tcPr>
            <w:tcW w:w="1039" w:type="pct"/>
            <w:tcBorders>
              <w:top w:val="single" w:sz="4" w:space="0" w:color="auto"/>
            </w:tcBorders>
          </w:tcPr>
          <w:p w:rsidR="00740658" w:rsidRPr="003C6F39" w:rsidRDefault="00740658" w:rsidP="00740658">
            <w:pPr>
              <w:jc w:val="center"/>
              <w:rPr>
                <w:sz w:val="16"/>
                <w:szCs w:val="16"/>
                <w:lang w:val="en-US"/>
              </w:rPr>
            </w:pPr>
          </w:p>
          <w:p w:rsidR="00740658" w:rsidRPr="003C6F39" w:rsidRDefault="00740658" w:rsidP="00740658">
            <w:pPr>
              <w:jc w:val="center"/>
              <w:rPr>
                <w:sz w:val="16"/>
                <w:szCs w:val="16"/>
                <w:lang w:val="en-US"/>
              </w:rPr>
            </w:pPr>
            <w:r w:rsidRPr="003C6F39">
              <w:rPr>
                <w:sz w:val="16"/>
                <w:szCs w:val="16"/>
              </w:rPr>
              <w:t>41,258</w:t>
            </w:r>
          </w:p>
        </w:tc>
        <w:tc>
          <w:tcPr>
            <w:tcW w:w="1090" w:type="pct"/>
            <w:tcBorders>
              <w:top w:val="single" w:sz="4" w:space="0" w:color="auto"/>
            </w:tcBorders>
          </w:tcPr>
          <w:p w:rsidR="00740658" w:rsidRPr="003C6F39" w:rsidRDefault="00740658" w:rsidP="00740658">
            <w:pPr>
              <w:jc w:val="center"/>
              <w:rPr>
                <w:sz w:val="16"/>
                <w:szCs w:val="16"/>
                <w:lang w:val="en-US"/>
              </w:rPr>
            </w:pPr>
          </w:p>
          <w:p w:rsidR="00740658" w:rsidRPr="003C6F39" w:rsidRDefault="00740658" w:rsidP="00740658">
            <w:pPr>
              <w:jc w:val="center"/>
              <w:rPr>
                <w:sz w:val="16"/>
                <w:szCs w:val="16"/>
                <w:lang w:val="en-US"/>
              </w:rPr>
            </w:pPr>
            <w:r w:rsidRPr="003C6F39">
              <w:rPr>
                <w:sz w:val="16"/>
                <w:szCs w:val="16"/>
              </w:rPr>
              <w:t>0,000</w:t>
            </w:r>
          </w:p>
        </w:tc>
      </w:tr>
      <w:tr w:rsidR="00740658" w:rsidRPr="003C6F39" w:rsidTr="00740658">
        <w:tc>
          <w:tcPr>
            <w:tcW w:w="1209" w:type="pct"/>
            <w:tcBorders>
              <w:top w:val="single" w:sz="4" w:space="0" w:color="auto"/>
            </w:tcBorders>
          </w:tcPr>
          <w:p w:rsidR="00740658" w:rsidRPr="003C6F39" w:rsidRDefault="00740658" w:rsidP="00740658">
            <w:pPr>
              <w:rPr>
                <w:b/>
                <w:sz w:val="16"/>
                <w:szCs w:val="16"/>
                <w:lang w:val="en-US"/>
              </w:rPr>
            </w:pPr>
            <w:r>
              <w:rPr>
                <w:b/>
                <w:sz w:val="16"/>
                <w:szCs w:val="16"/>
                <w:lang w:val="en-US"/>
              </w:rPr>
              <w:t>Becoming</w:t>
            </w:r>
            <w:r w:rsidRPr="003C6F39">
              <w:rPr>
                <w:b/>
                <w:sz w:val="16"/>
                <w:szCs w:val="16"/>
                <w:lang w:val="en-US"/>
              </w:rPr>
              <w:t xml:space="preserve"> Drunk</w:t>
            </w:r>
          </w:p>
          <w:p w:rsidR="00740658" w:rsidRPr="003C6F39" w:rsidRDefault="00740658" w:rsidP="00740658">
            <w:pPr>
              <w:jc w:val="center"/>
              <w:rPr>
                <w:sz w:val="16"/>
                <w:szCs w:val="16"/>
                <w:lang w:val="en-US"/>
              </w:rPr>
            </w:pPr>
            <w:r w:rsidRPr="003C6F39">
              <w:rPr>
                <w:sz w:val="16"/>
                <w:szCs w:val="16"/>
                <w:lang w:val="en-US"/>
              </w:rPr>
              <w:t>Three times and less</w:t>
            </w:r>
          </w:p>
          <w:p w:rsidR="00740658" w:rsidRPr="003C6F39" w:rsidRDefault="00740658" w:rsidP="00740658">
            <w:pPr>
              <w:jc w:val="center"/>
              <w:rPr>
                <w:sz w:val="16"/>
                <w:szCs w:val="16"/>
                <w:lang w:val="en-US"/>
              </w:rPr>
            </w:pPr>
            <w:r w:rsidRPr="003C6F39">
              <w:rPr>
                <w:sz w:val="16"/>
                <w:szCs w:val="16"/>
                <w:lang w:val="en-US"/>
              </w:rPr>
              <w:t>More than three times</w:t>
            </w:r>
          </w:p>
        </w:tc>
        <w:tc>
          <w:tcPr>
            <w:tcW w:w="806" w:type="pct"/>
            <w:tcBorders>
              <w:top w:val="single" w:sz="4" w:space="0" w:color="auto"/>
            </w:tcBorders>
          </w:tcPr>
          <w:p w:rsidR="00740658" w:rsidRPr="003C6F39" w:rsidRDefault="00740658" w:rsidP="00740658">
            <w:pPr>
              <w:jc w:val="center"/>
              <w:rPr>
                <w:sz w:val="16"/>
                <w:szCs w:val="16"/>
                <w:lang w:val="en-US"/>
              </w:rPr>
            </w:pPr>
          </w:p>
          <w:p w:rsidR="00740658" w:rsidRPr="003C6F39" w:rsidRDefault="00740658" w:rsidP="00740658">
            <w:pPr>
              <w:jc w:val="center"/>
              <w:rPr>
                <w:sz w:val="16"/>
                <w:szCs w:val="16"/>
                <w:lang w:val="en-US"/>
              </w:rPr>
            </w:pPr>
            <w:r w:rsidRPr="003C6F39">
              <w:rPr>
                <w:sz w:val="16"/>
                <w:szCs w:val="16"/>
                <w:lang w:val="en-US"/>
              </w:rPr>
              <w:t>1161     96,5</w:t>
            </w:r>
          </w:p>
          <w:p w:rsidR="00740658" w:rsidRPr="003C6F39" w:rsidRDefault="00740658" w:rsidP="00740658">
            <w:pPr>
              <w:jc w:val="center"/>
              <w:rPr>
                <w:sz w:val="16"/>
                <w:szCs w:val="16"/>
                <w:lang w:val="en-US"/>
              </w:rPr>
            </w:pPr>
            <w:r w:rsidRPr="003C6F39">
              <w:rPr>
                <w:sz w:val="16"/>
                <w:szCs w:val="16"/>
                <w:lang w:val="en-US"/>
              </w:rPr>
              <w:t>45         86,5</w:t>
            </w:r>
          </w:p>
        </w:tc>
        <w:tc>
          <w:tcPr>
            <w:tcW w:w="856" w:type="pct"/>
            <w:tcBorders>
              <w:top w:val="single" w:sz="4" w:space="0" w:color="auto"/>
            </w:tcBorders>
          </w:tcPr>
          <w:p w:rsidR="00740658" w:rsidRPr="003C6F39" w:rsidRDefault="00740658" w:rsidP="00740658">
            <w:pPr>
              <w:jc w:val="center"/>
              <w:rPr>
                <w:sz w:val="16"/>
                <w:szCs w:val="16"/>
                <w:lang w:val="en-US"/>
              </w:rPr>
            </w:pPr>
          </w:p>
          <w:p w:rsidR="00740658" w:rsidRPr="003C6F39" w:rsidRDefault="00740658" w:rsidP="00740658">
            <w:pPr>
              <w:jc w:val="center"/>
              <w:rPr>
                <w:sz w:val="16"/>
                <w:szCs w:val="16"/>
                <w:lang w:val="en-US"/>
              </w:rPr>
            </w:pPr>
            <w:r w:rsidRPr="003C6F39">
              <w:rPr>
                <w:sz w:val="16"/>
                <w:szCs w:val="16"/>
                <w:lang w:val="en-US"/>
              </w:rPr>
              <w:t>42      3,5</w:t>
            </w:r>
          </w:p>
          <w:p w:rsidR="00740658" w:rsidRPr="003C6F39" w:rsidRDefault="00740658" w:rsidP="00740658">
            <w:pPr>
              <w:jc w:val="center"/>
              <w:rPr>
                <w:sz w:val="16"/>
                <w:szCs w:val="16"/>
                <w:lang w:val="en-US"/>
              </w:rPr>
            </w:pPr>
            <w:r w:rsidRPr="003C6F39">
              <w:rPr>
                <w:sz w:val="16"/>
                <w:szCs w:val="16"/>
                <w:lang w:val="en-US"/>
              </w:rPr>
              <w:t>7       13,5</w:t>
            </w:r>
          </w:p>
        </w:tc>
        <w:tc>
          <w:tcPr>
            <w:tcW w:w="1039" w:type="pct"/>
            <w:tcBorders>
              <w:top w:val="single" w:sz="4" w:space="0" w:color="auto"/>
            </w:tcBorders>
          </w:tcPr>
          <w:p w:rsidR="00740658" w:rsidRPr="003C6F39" w:rsidRDefault="00740658" w:rsidP="00740658">
            <w:pPr>
              <w:jc w:val="center"/>
              <w:rPr>
                <w:sz w:val="16"/>
                <w:szCs w:val="16"/>
                <w:lang w:val="en-US"/>
              </w:rPr>
            </w:pPr>
          </w:p>
          <w:p w:rsidR="00740658" w:rsidRPr="003C6F39" w:rsidRDefault="00740658" w:rsidP="00740658">
            <w:pPr>
              <w:jc w:val="center"/>
              <w:rPr>
                <w:sz w:val="16"/>
                <w:szCs w:val="16"/>
                <w:lang w:val="en-US"/>
              </w:rPr>
            </w:pPr>
            <w:r w:rsidRPr="003C6F39">
              <w:rPr>
                <w:sz w:val="16"/>
                <w:szCs w:val="16"/>
              </w:rPr>
              <w:t>13,206</w:t>
            </w:r>
          </w:p>
        </w:tc>
        <w:tc>
          <w:tcPr>
            <w:tcW w:w="1090" w:type="pct"/>
            <w:tcBorders>
              <w:top w:val="single" w:sz="4" w:space="0" w:color="auto"/>
            </w:tcBorders>
          </w:tcPr>
          <w:p w:rsidR="00740658" w:rsidRPr="003C6F39" w:rsidRDefault="00740658" w:rsidP="00740658">
            <w:pPr>
              <w:jc w:val="center"/>
              <w:rPr>
                <w:sz w:val="16"/>
                <w:szCs w:val="16"/>
                <w:lang w:val="en-US"/>
              </w:rPr>
            </w:pPr>
          </w:p>
          <w:p w:rsidR="00740658" w:rsidRPr="003C6F39" w:rsidRDefault="00740658" w:rsidP="00740658">
            <w:pPr>
              <w:jc w:val="center"/>
              <w:rPr>
                <w:sz w:val="16"/>
                <w:szCs w:val="16"/>
                <w:lang w:val="en-US"/>
              </w:rPr>
            </w:pPr>
            <w:r w:rsidRPr="003C6F39">
              <w:rPr>
                <w:sz w:val="16"/>
                <w:szCs w:val="16"/>
              </w:rPr>
              <w:t>0,000</w:t>
            </w:r>
          </w:p>
        </w:tc>
      </w:tr>
    </w:tbl>
    <w:p w:rsidR="00740658" w:rsidRDefault="00740658" w:rsidP="00740658">
      <w:pPr>
        <w:pStyle w:val="Els-body-text"/>
        <w:ind w:firstLine="0"/>
        <w:rPr>
          <w:sz w:val="16"/>
          <w:szCs w:val="16"/>
          <w:lang w:bidi="en-US"/>
        </w:rPr>
      </w:pPr>
    </w:p>
    <w:p w:rsidR="005764E3" w:rsidRDefault="005764E3" w:rsidP="005764E3">
      <w:pPr>
        <w:pStyle w:val="Els-body-text"/>
        <w:ind w:firstLine="0"/>
        <w:rPr>
          <w:lang w:bidi="en-US"/>
        </w:rPr>
      </w:pPr>
      <w:r>
        <w:rPr>
          <w:lang w:bidi="en-US"/>
        </w:rPr>
        <w:t xml:space="preserve">  </w:t>
      </w:r>
      <w:r w:rsidR="00740658" w:rsidRPr="005764E3">
        <w:rPr>
          <w:lang w:bidi="en-US"/>
        </w:rPr>
        <w:t>When Table 1 is examined, it is seen that the students who using an illegal substance or not, do not differ according to gender, place of birth, monthly income of the family, year loss, mother’s education level and father’s education level. Regarding cigarettes, alcohol use and drunkenness, it was found that those who smoked 1 or less a day, those who drink 1 or less alcohol a week, and those who become drunk less than 3 times a week were more likely to use illegal substances.</w:t>
      </w:r>
    </w:p>
    <w:p w:rsidR="005764E3" w:rsidRDefault="005764E3" w:rsidP="005764E3">
      <w:pPr>
        <w:pStyle w:val="Els-body-text"/>
        <w:ind w:firstLine="0"/>
        <w:rPr>
          <w:lang w:bidi="en-US"/>
        </w:rPr>
      </w:pPr>
    </w:p>
    <w:p w:rsidR="00740658" w:rsidRDefault="005764E3" w:rsidP="00820DAB">
      <w:pPr>
        <w:pStyle w:val="Els-body-text"/>
        <w:ind w:firstLine="0"/>
        <w:rPr>
          <w:lang w:bidi="en-US"/>
        </w:rPr>
      </w:pPr>
      <w:r>
        <w:rPr>
          <w:lang w:bidi="en-US"/>
        </w:rPr>
        <w:t xml:space="preserve">  </w:t>
      </w:r>
      <w:r w:rsidR="00740658" w:rsidRPr="005764E3">
        <w:rPr>
          <w:lang w:bidi="en-US"/>
        </w:rPr>
        <w:t>Table 2 shows the results of logistic regression analysis of the risk factors that are effective in the use of illegal DPM in middle school students.</w:t>
      </w:r>
    </w:p>
    <w:p w:rsidR="005764E3" w:rsidRDefault="005764E3" w:rsidP="00740658">
      <w:pPr>
        <w:tabs>
          <w:tab w:val="left" w:pos="2268"/>
        </w:tabs>
        <w:jc w:val="both"/>
        <w:rPr>
          <w:lang w:bidi="en-US"/>
        </w:rPr>
      </w:pPr>
    </w:p>
    <w:p w:rsidR="009D1FD7" w:rsidRDefault="009D1FD7" w:rsidP="00740658">
      <w:pPr>
        <w:tabs>
          <w:tab w:val="left" w:pos="2268"/>
        </w:tabs>
        <w:jc w:val="both"/>
        <w:rPr>
          <w:lang w:bidi="en-US"/>
        </w:rPr>
      </w:pPr>
    </w:p>
    <w:p w:rsidR="00740658" w:rsidRPr="00740658" w:rsidRDefault="00740658" w:rsidP="00740658">
      <w:pPr>
        <w:spacing w:line="360" w:lineRule="auto"/>
        <w:jc w:val="center"/>
        <w:rPr>
          <w:sz w:val="16"/>
          <w:szCs w:val="16"/>
          <w:u w:val="single"/>
        </w:rPr>
      </w:pPr>
      <w:proofErr w:type="gramStart"/>
      <w:r w:rsidRPr="00740658">
        <w:rPr>
          <w:sz w:val="16"/>
          <w:szCs w:val="16"/>
          <w:u w:val="single"/>
          <w:lang w:bidi="en-US"/>
        </w:rPr>
        <w:t>Table 2.</w:t>
      </w:r>
      <w:proofErr w:type="gramEnd"/>
      <w:r w:rsidRPr="00740658">
        <w:rPr>
          <w:sz w:val="16"/>
          <w:szCs w:val="16"/>
          <w:u w:val="single"/>
          <w:lang w:bidi="en-US"/>
        </w:rPr>
        <w:t xml:space="preserve"> Investigation of the risk factors </w:t>
      </w:r>
      <w:proofErr w:type="gramStart"/>
      <w:r w:rsidRPr="00740658">
        <w:rPr>
          <w:sz w:val="16"/>
          <w:szCs w:val="16"/>
          <w:u w:val="single"/>
          <w:lang w:bidi="en-US"/>
        </w:rPr>
        <w:t>that are</w:t>
      </w:r>
      <w:proofErr w:type="gramEnd"/>
      <w:r w:rsidRPr="00740658">
        <w:rPr>
          <w:sz w:val="16"/>
          <w:szCs w:val="16"/>
          <w:u w:val="single"/>
          <w:lang w:bidi="en-US"/>
        </w:rPr>
        <w:t xml:space="preserve"> effective in the use of illegal DPM in middle school students by logistic regression analysis</w:t>
      </w:r>
    </w:p>
    <w:p w:rsidR="00740658" w:rsidRDefault="00740658" w:rsidP="009B14B2">
      <w:pPr>
        <w:pStyle w:val="Els-body-text"/>
        <w:rPr>
          <w:lang w:eastAsia="tr-TR"/>
        </w:rPr>
      </w:pPr>
    </w:p>
    <w:tbl>
      <w:tblPr>
        <w:tblpPr w:leftFromText="141" w:rightFromText="141" w:vertAnchor="text" w:horzAnchor="margin" w:tblpY="74"/>
        <w:tblW w:w="5000" w:type="pct"/>
        <w:tblBorders>
          <w:top w:val="single" w:sz="4" w:space="0" w:color="auto"/>
          <w:bottom w:val="single" w:sz="4" w:space="0" w:color="auto"/>
        </w:tblBorders>
        <w:tblLook w:val="01E0"/>
      </w:tblPr>
      <w:tblGrid>
        <w:gridCol w:w="3914"/>
        <w:gridCol w:w="2608"/>
        <w:gridCol w:w="3100"/>
      </w:tblGrid>
      <w:tr w:rsidR="00740658" w:rsidRPr="003C6F39" w:rsidTr="00740658">
        <w:tc>
          <w:tcPr>
            <w:tcW w:w="2034" w:type="pct"/>
            <w:tcBorders>
              <w:top w:val="single" w:sz="4" w:space="0" w:color="auto"/>
              <w:bottom w:val="single" w:sz="4" w:space="0" w:color="auto"/>
            </w:tcBorders>
          </w:tcPr>
          <w:p w:rsidR="00740658" w:rsidRPr="003C6F39" w:rsidRDefault="00740658" w:rsidP="00740658">
            <w:pPr>
              <w:jc w:val="center"/>
              <w:rPr>
                <w:b/>
                <w:sz w:val="16"/>
                <w:szCs w:val="16"/>
                <w:lang w:val="en-US"/>
              </w:rPr>
            </w:pPr>
            <w:proofErr w:type="spellStart"/>
            <w:r w:rsidRPr="003C6F39">
              <w:rPr>
                <w:b/>
                <w:sz w:val="16"/>
                <w:szCs w:val="16"/>
                <w:lang w:val="en-US"/>
              </w:rPr>
              <w:t>Sociodemographic</w:t>
            </w:r>
            <w:proofErr w:type="spellEnd"/>
            <w:r w:rsidRPr="003C6F39">
              <w:rPr>
                <w:b/>
                <w:sz w:val="16"/>
                <w:szCs w:val="16"/>
                <w:lang w:val="en-US"/>
              </w:rPr>
              <w:t xml:space="preserve"> variables</w:t>
            </w:r>
          </w:p>
        </w:tc>
        <w:tc>
          <w:tcPr>
            <w:tcW w:w="1355" w:type="pct"/>
            <w:tcBorders>
              <w:top w:val="single" w:sz="4" w:space="0" w:color="auto"/>
              <w:bottom w:val="single" w:sz="4" w:space="0" w:color="auto"/>
            </w:tcBorders>
          </w:tcPr>
          <w:p w:rsidR="00740658" w:rsidRPr="003C6F39" w:rsidRDefault="00740658" w:rsidP="00740658">
            <w:pPr>
              <w:jc w:val="center"/>
              <w:rPr>
                <w:b/>
                <w:sz w:val="16"/>
                <w:szCs w:val="16"/>
                <w:lang w:val="en-US"/>
              </w:rPr>
            </w:pPr>
            <w:r w:rsidRPr="003C6F39">
              <w:rPr>
                <w:b/>
                <w:sz w:val="16"/>
                <w:szCs w:val="16"/>
                <w:lang w:val="en-US"/>
              </w:rPr>
              <w:t>Pre-Test</w:t>
            </w:r>
          </w:p>
        </w:tc>
        <w:tc>
          <w:tcPr>
            <w:tcW w:w="1611" w:type="pct"/>
            <w:tcBorders>
              <w:top w:val="single" w:sz="4" w:space="0" w:color="auto"/>
              <w:bottom w:val="single" w:sz="4" w:space="0" w:color="auto"/>
            </w:tcBorders>
          </w:tcPr>
          <w:p w:rsidR="00740658" w:rsidRPr="003C6F39" w:rsidRDefault="00740658" w:rsidP="00740658">
            <w:pPr>
              <w:jc w:val="center"/>
              <w:rPr>
                <w:b/>
                <w:sz w:val="16"/>
                <w:szCs w:val="16"/>
                <w:lang w:val="en-US"/>
              </w:rPr>
            </w:pPr>
            <w:r w:rsidRPr="003C6F39">
              <w:rPr>
                <w:b/>
                <w:sz w:val="16"/>
                <w:szCs w:val="16"/>
                <w:lang w:val="en-US"/>
              </w:rPr>
              <w:t>95% Confidence Interval</w:t>
            </w:r>
          </w:p>
        </w:tc>
      </w:tr>
      <w:tr w:rsidR="00740658" w:rsidRPr="003C6F39" w:rsidTr="00740658">
        <w:tc>
          <w:tcPr>
            <w:tcW w:w="2034" w:type="pct"/>
            <w:tcBorders>
              <w:top w:val="single" w:sz="4" w:space="0" w:color="auto"/>
            </w:tcBorders>
          </w:tcPr>
          <w:p w:rsidR="00740658" w:rsidRPr="003C6F39" w:rsidRDefault="00740658" w:rsidP="00740658">
            <w:pPr>
              <w:jc w:val="center"/>
              <w:rPr>
                <w:sz w:val="16"/>
                <w:szCs w:val="16"/>
                <w:lang w:val="en-US"/>
              </w:rPr>
            </w:pPr>
            <w:r w:rsidRPr="003C6F39">
              <w:rPr>
                <w:sz w:val="16"/>
                <w:szCs w:val="16"/>
                <w:lang w:val="en-US"/>
              </w:rPr>
              <w:t>Sex (female/male)</w:t>
            </w:r>
          </w:p>
        </w:tc>
        <w:tc>
          <w:tcPr>
            <w:tcW w:w="1355" w:type="pct"/>
            <w:tcBorders>
              <w:top w:val="single" w:sz="4" w:space="0" w:color="auto"/>
            </w:tcBorders>
          </w:tcPr>
          <w:p w:rsidR="00740658" w:rsidRPr="003C6F39" w:rsidRDefault="00740658" w:rsidP="00740658">
            <w:pPr>
              <w:jc w:val="center"/>
              <w:rPr>
                <w:sz w:val="16"/>
                <w:szCs w:val="16"/>
              </w:rPr>
            </w:pPr>
            <w:r w:rsidRPr="003C6F39">
              <w:rPr>
                <w:sz w:val="16"/>
                <w:szCs w:val="16"/>
              </w:rPr>
              <w:t>1,403</w:t>
            </w:r>
          </w:p>
        </w:tc>
        <w:tc>
          <w:tcPr>
            <w:tcW w:w="1611" w:type="pct"/>
            <w:tcBorders>
              <w:top w:val="single" w:sz="4" w:space="0" w:color="auto"/>
            </w:tcBorders>
          </w:tcPr>
          <w:p w:rsidR="00740658" w:rsidRPr="003C6F39" w:rsidRDefault="00740658" w:rsidP="00740658">
            <w:pPr>
              <w:jc w:val="center"/>
              <w:rPr>
                <w:sz w:val="16"/>
                <w:szCs w:val="16"/>
              </w:rPr>
            </w:pPr>
            <w:r w:rsidRPr="003C6F39">
              <w:rPr>
                <w:sz w:val="16"/>
                <w:szCs w:val="16"/>
              </w:rPr>
              <w:t>(0,732-2,488)</w:t>
            </w:r>
          </w:p>
        </w:tc>
      </w:tr>
      <w:tr w:rsidR="00740658" w:rsidRPr="003C6F39" w:rsidTr="00740658">
        <w:tc>
          <w:tcPr>
            <w:tcW w:w="2034" w:type="pct"/>
          </w:tcPr>
          <w:p w:rsidR="00740658" w:rsidRPr="00740658" w:rsidRDefault="00740658" w:rsidP="00740658">
            <w:pPr>
              <w:jc w:val="center"/>
              <w:rPr>
                <w:b/>
                <w:sz w:val="16"/>
                <w:szCs w:val="16"/>
                <w:lang w:val="en-US"/>
              </w:rPr>
            </w:pPr>
            <w:r w:rsidRPr="00740658">
              <w:rPr>
                <w:sz w:val="16"/>
                <w:szCs w:val="16"/>
                <w:lang w:bidi="en-US"/>
              </w:rPr>
              <w:t>Passing the class (failed / passed)</w:t>
            </w:r>
          </w:p>
        </w:tc>
        <w:tc>
          <w:tcPr>
            <w:tcW w:w="1355" w:type="pct"/>
          </w:tcPr>
          <w:p w:rsidR="00740658" w:rsidRPr="003C6F39" w:rsidRDefault="00740658" w:rsidP="00740658">
            <w:pPr>
              <w:jc w:val="center"/>
              <w:rPr>
                <w:sz w:val="16"/>
                <w:szCs w:val="16"/>
              </w:rPr>
            </w:pPr>
            <w:r w:rsidRPr="003C6F39">
              <w:rPr>
                <w:sz w:val="16"/>
                <w:szCs w:val="16"/>
              </w:rPr>
              <w:t>1,742</w:t>
            </w:r>
          </w:p>
        </w:tc>
        <w:tc>
          <w:tcPr>
            <w:tcW w:w="1611" w:type="pct"/>
          </w:tcPr>
          <w:p w:rsidR="00740658" w:rsidRPr="003C6F39" w:rsidRDefault="00740658" w:rsidP="00740658">
            <w:pPr>
              <w:jc w:val="center"/>
              <w:rPr>
                <w:sz w:val="16"/>
                <w:szCs w:val="16"/>
              </w:rPr>
            </w:pPr>
            <w:r w:rsidRPr="003C6F39">
              <w:rPr>
                <w:sz w:val="16"/>
                <w:szCs w:val="16"/>
              </w:rPr>
              <w:t>(0,893-3,399)</w:t>
            </w:r>
          </w:p>
        </w:tc>
      </w:tr>
      <w:tr w:rsidR="00740658" w:rsidRPr="003C6F39" w:rsidTr="00740658">
        <w:tc>
          <w:tcPr>
            <w:tcW w:w="2034" w:type="pct"/>
          </w:tcPr>
          <w:p w:rsidR="00740658" w:rsidRPr="003C6F39" w:rsidRDefault="00740658" w:rsidP="00740658">
            <w:pPr>
              <w:jc w:val="center"/>
              <w:rPr>
                <w:sz w:val="16"/>
                <w:szCs w:val="16"/>
                <w:lang w:val="en-US"/>
              </w:rPr>
            </w:pPr>
            <w:r w:rsidRPr="003C6F39">
              <w:rPr>
                <w:sz w:val="16"/>
                <w:szCs w:val="16"/>
                <w:lang w:val="en-US"/>
              </w:rPr>
              <w:t>Place of birth (Turkey/Cyprus)</w:t>
            </w:r>
          </w:p>
        </w:tc>
        <w:tc>
          <w:tcPr>
            <w:tcW w:w="1355" w:type="pct"/>
          </w:tcPr>
          <w:p w:rsidR="00740658" w:rsidRPr="003C6F39" w:rsidRDefault="00740658" w:rsidP="00740658">
            <w:pPr>
              <w:jc w:val="center"/>
              <w:rPr>
                <w:sz w:val="16"/>
                <w:szCs w:val="16"/>
              </w:rPr>
            </w:pPr>
            <w:r w:rsidRPr="003C6F39">
              <w:rPr>
                <w:sz w:val="16"/>
                <w:szCs w:val="16"/>
              </w:rPr>
              <w:t>1,450</w:t>
            </w:r>
          </w:p>
        </w:tc>
        <w:tc>
          <w:tcPr>
            <w:tcW w:w="1611" w:type="pct"/>
          </w:tcPr>
          <w:p w:rsidR="00740658" w:rsidRPr="003C6F39" w:rsidRDefault="00740658" w:rsidP="00740658">
            <w:pPr>
              <w:jc w:val="center"/>
              <w:rPr>
                <w:sz w:val="16"/>
                <w:szCs w:val="16"/>
              </w:rPr>
            </w:pPr>
            <w:r w:rsidRPr="003C6F39">
              <w:rPr>
                <w:sz w:val="16"/>
                <w:szCs w:val="16"/>
              </w:rPr>
              <w:t>(0,787-2,671)</w:t>
            </w:r>
          </w:p>
        </w:tc>
      </w:tr>
      <w:tr w:rsidR="00740658" w:rsidRPr="003C6F39" w:rsidTr="00740658">
        <w:tc>
          <w:tcPr>
            <w:tcW w:w="2034" w:type="pct"/>
          </w:tcPr>
          <w:p w:rsidR="00740658" w:rsidRPr="003C6F39" w:rsidRDefault="00740658" w:rsidP="00740658">
            <w:pPr>
              <w:jc w:val="center"/>
              <w:rPr>
                <w:sz w:val="16"/>
                <w:szCs w:val="16"/>
                <w:lang w:val="en-US"/>
              </w:rPr>
            </w:pPr>
            <w:r w:rsidRPr="003C6F39">
              <w:rPr>
                <w:sz w:val="16"/>
                <w:szCs w:val="16"/>
                <w:lang w:val="en-US"/>
              </w:rPr>
              <w:t>Age (14 and above/13-12-11 years old)</w:t>
            </w:r>
          </w:p>
        </w:tc>
        <w:tc>
          <w:tcPr>
            <w:tcW w:w="1355" w:type="pct"/>
          </w:tcPr>
          <w:p w:rsidR="00740658" w:rsidRPr="003C6F39" w:rsidRDefault="00740658" w:rsidP="00740658">
            <w:pPr>
              <w:jc w:val="center"/>
              <w:rPr>
                <w:sz w:val="16"/>
                <w:szCs w:val="16"/>
              </w:rPr>
            </w:pPr>
            <w:r w:rsidRPr="003C6F39">
              <w:rPr>
                <w:sz w:val="16"/>
                <w:szCs w:val="16"/>
              </w:rPr>
              <w:t>1,501</w:t>
            </w:r>
          </w:p>
        </w:tc>
        <w:tc>
          <w:tcPr>
            <w:tcW w:w="1611" w:type="pct"/>
          </w:tcPr>
          <w:p w:rsidR="00740658" w:rsidRPr="003C6F39" w:rsidRDefault="00740658" w:rsidP="00740658">
            <w:pPr>
              <w:jc w:val="center"/>
              <w:rPr>
                <w:sz w:val="16"/>
                <w:szCs w:val="16"/>
              </w:rPr>
            </w:pPr>
            <w:r w:rsidRPr="003C6F39">
              <w:rPr>
                <w:sz w:val="16"/>
                <w:szCs w:val="16"/>
              </w:rPr>
              <w:t>(0,835-2,697)</w:t>
            </w:r>
          </w:p>
        </w:tc>
      </w:tr>
      <w:tr w:rsidR="00740658" w:rsidRPr="003C6F39" w:rsidTr="00740658">
        <w:tc>
          <w:tcPr>
            <w:tcW w:w="2034" w:type="pct"/>
          </w:tcPr>
          <w:p w:rsidR="00740658" w:rsidRPr="003C6F39" w:rsidRDefault="00740658" w:rsidP="00740658">
            <w:pPr>
              <w:jc w:val="center"/>
              <w:rPr>
                <w:sz w:val="16"/>
                <w:szCs w:val="16"/>
                <w:lang w:val="en-US"/>
              </w:rPr>
            </w:pPr>
            <w:r w:rsidRPr="003C6F39">
              <w:rPr>
                <w:sz w:val="16"/>
                <w:szCs w:val="16"/>
                <w:lang w:val="en-US"/>
              </w:rPr>
              <w:t>Mothers’ education (high school and above/below)</w:t>
            </w:r>
          </w:p>
        </w:tc>
        <w:tc>
          <w:tcPr>
            <w:tcW w:w="1355" w:type="pct"/>
          </w:tcPr>
          <w:p w:rsidR="00740658" w:rsidRPr="003C6F39" w:rsidRDefault="00740658" w:rsidP="00740658">
            <w:pPr>
              <w:jc w:val="center"/>
              <w:rPr>
                <w:sz w:val="16"/>
                <w:szCs w:val="16"/>
              </w:rPr>
            </w:pPr>
            <w:r w:rsidRPr="003C6F39">
              <w:rPr>
                <w:sz w:val="16"/>
                <w:szCs w:val="16"/>
              </w:rPr>
              <w:t>1,927</w:t>
            </w:r>
          </w:p>
        </w:tc>
        <w:tc>
          <w:tcPr>
            <w:tcW w:w="1611" w:type="pct"/>
          </w:tcPr>
          <w:p w:rsidR="00740658" w:rsidRPr="003C6F39" w:rsidRDefault="00740658" w:rsidP="00740658">
            <w:pPr>
              <w:jc w:val="center"/>
              <w:rPr>
                <w:sz w:val="16"/>
                <w:szCs w:val="16"/>
              </w:rPr>
            </w:pPr>
            <w:r w:rsidRPr="003C6F39">
              <w:rPr>
                <w:sz w:val="16"/>
                <w:szCs w:val="16"/>
              </w:rPr>
              <w:t>(0,791-4,694)</w:t>
            </w:r>
          </w:p>
        </w:tc>
      </w:tr>
      <w:tr w:rsidR="00740658" w:rsidRPr="003C6F39" w:rsidTr="00740658">
        <w:tc>
          <w:tcPr>
            <w:tcW w:w="2034" w:type="pct"/>
          </w:tcPr>
          <w:p w:rsidR="00740658" w:rsidRPr="003C6F39" w:rsidRDefault="00740658" w:rsidP="00740658">
            <w:pPr>
              <w:jc w:val="center"/>
              <w:rPr>
                <w:sz w:val="16"/>
                <w:szCs w:val="16"/>
                <w:lang w:val="en-US"/>
              </w:rPr>
            </w:pPr>
            <w:r w:rsidRPr="003C6F39">
              <w:rPr>
                <w:sz w:val="16"/>
                <w:szCs w:val="16"/>
                <w:lang w:val="en-US"/>
              </w:rPr>
              <w:t>Fathers’ education (high school and above/below)</w:t>
            </w:r>
          </w:p>
        </w:tc>
        <w:tc>
          <w:tcPr>
            <w:tcW w:w="1355" w:type="pct"/>
          </w:tcPr>
          <w:p w:rsidR="00740658" w:rsidRPr="003C6F39" w:rsidRDefault="00740658" w:rsidP="00740658">
            <w:pPr>
              <w:jc w:val="center"/>
              <w:rPr>
                <w:sz w:val="16"/>
                <w:szCs w:val="16"/>
              </w:rPr>
            </w:pPr>
            <w:r w:rsidRPr="003C6F39">
              <w:rPr>
                <w:sz w:val="16"/>
                <w:szCs w:val="16"/>
              </w:rPr>
              <w:t>1,851</w:t>
            </w:r>
          </w:p>
        </w:tc>
        <w:tc>
          <w:tcPr>
            <w:tcW w:w="1611" w:type="pct"/>
          </w:tcPr>
          <w:p w:rsidR="00740658" w:rsidRPr="003C6F39" w:rsidRDefault="00740658" w:rsidP="00740658">
            <w:pPr>
              <w:jc w:val="center"/>
              <w:rPr>
                <w:sz w:val="16"/>
                <w:szCs w:val="16"/>
              </w:rPr>
            </w:pPr>
            <w:r w:rsidRPr="003C6F39">
              <w:rPr>
                <w:sz w:val="16"/>
                <w:szCs w:val="16"/>
              </w:rPr>
              <w:t>(0,601-5,703)</w:t>
            </w:r>
          </w:p>
        </w:tc>
      </w:tr>
      <w:tr w:rsidR="00740658" w:rsidRPr="003C6F39" w:rsidTr="00740658">
        <w:tc>
          <w:tcPr>
            <w:tcW w:w="2034" w:type="pct"/>
          </w:tcPr>
          <w:p w:rsidR="00740658" w:rsidRPr="003C6F39" w:rsidRDefault="00740658" w:rsidP="00740658">
            <w:pPr>
              <w:jc w:val="center"/>
              <w:rPr>
                <w:sz w:val="16"/>
                <w:szCs w:val="16"/>
                <w:lang w:val="en-US"/>
              </w:rPr>
            </w:pPr>
            <w:r w:rsidRPr="003C6F39">
              <w:rPr>
                <w:sz w:val="16"/>
                <w:szCs w:val="16"/>
                <w:lang w:val="en-US"/>
              </w:rPr>
              <w:t>Monthly income of the family (2000 and above/below)</w:t>
            </w:r>
          </w:p>
        </w:tc>
        <w:tc>
          <w:tcPr>
            <w:tcW w:w="1355" w:type="pct"/>
          </w:tcPr>
          <w:p w:rsidR="00740658" w:rsidRPr="003C6F39" w:rsidRDefault="00740658" w:rsidP="00740658">
            <w:pPr>
              <w:jc w:val="center"/>
              <w:rPr>
                <w:sz w:val="16"/>
                <w:szCs w:val="16"/>
              </w:rPr>
            </w:pPr>
            <w:r w:rsidRPr="003C6F39">
              <w:rPr>
                <w:sz w:val="16"/>
                <w:szCs w:val="16"/>
              </w:rPr>
              <w:t>1,588</w:t>
            </w:r>
          </w:p>
        </w:tc>
        <w:tc>
          <w:tcPr>
            <w:tcW w:w="1611" w:type="pct"/>
          </w:tcPr>
          <w:p w:rsidR="00740658" w:rsidRPr="003C6F39" w:rsidRDefault="00740658" w:rsidP="00740658">
            <w:pPr>
              <w:jc w:val="center"/>
              <w:rPr>
                <w:sz w:val="16"/>
                <w:szCs w:val="16"/>
              </w:rPr>
            </w:pPr>
            <w:r w:rsidRPr="003C6F39">
              <w:rPr>
                <w:sz w:val="16"/>
                <w:szCs w:val="16"/>
              </w:rPr>
              <w:t>(0,511-4,936)</w:t>
            </w:r>
          </w:p>
        </w:tc>
      </w:tr>
      <w:tr w:rsidR="00740658" w:rsidRPr="003C6F39" w:rsidTr="00740658">
        <w:tc>
          <w:tcPr>
            <w:tcW w:w="2034" w:type="pct"/>
          </w:tcPr>
          <w:p w:rsidR="00740658" w:rsidRPr="003C6F39" w:rsidRDefault="00740658" w:rsidP="00740658">
            <w:pPr>
              <w:jc w:val="center"/>
              <w:rPr>
                <w:sz w:val="16"/>
                <w:szCs w:val="16"/>
                <w:lang w:val="en-US"/>
              </w:rPr>
            </w:pPr>
            <w:r>
              <w:rPr>
                <w:sz w:val="16"/>
                <w:szCs w:val="16"/>
                <w:lang w:val="en-US"/>
              </w:rPr>
              <w:t>Smoking (more tha</w:t>
            </w:r>
            <w:r w:rsidRPr="003C6F39">
              <w:rPr>
                <w:sz w:val="16"/>
                <w:szCs w:val="16"/>
                <w:lang w:val="en-US"/>
              </w:rPr>
              <w:t>n once a day/less)</w:t>
            </w:r>
          </w:p>
        </w:tc>
        <w:tc>
          <w:tcPr>
            <w:tcW w:w="1355" w:type="pct"/>
          </w:tcPr>
          <w:p w:rsidR="00740658" w:rsidRPr="003C6F39" w:rsidRDefault="00740658" w:rsidP="00740658">
            <w:pPr>
              <w:jc w:val="center"/>
              <w:rPr>
                <w:sz w:val="16"/>
                <w:szCs w:val="16"/>
              </w:rPr>
            </w:pPr>
            <w:r w:rsidRPr="003C6F39">
              <w:rPr>
                <w:sz w:val="16"/>
                <w:szCs w:val="16"/>
              </w:rPr>
              <w:t>24,796</w:t>
            </w:r>
          </w:p>
        </w:tc>
        <w:tc>
          <w:tcPr>
            <w:tcW w:w="1611" w:type="pct"/>
          </w:tcPr>
          <w:p w:rsidR="00740658" w:rsidRPr="003C6F39" w:rsidRDefault="00740658" w:rsidP="00740658">
            <w:pPr>
              <w:jc w:val="center"/>
              <w:rPr>
                <w:sz w:val="16"/>
                <w:szCs w:val="16"/>
              </w:rPr>
            </w:pPr>
            <w:r w:rsidRPr="003C6F39">
              <w:rPr>
                <w:sz w:val="16"/>
                <w:szCs w:val="16"/>
              </w:rPr>
              <w:t>(7,986-76,989)**</w:t>
            </w:r>
          </w:p>
        </w:tc>
      </w:tr>
      <w:tr w:rsidR="00740658" w:rsidRPr="003C6F39" w:rsidTr="00740658">
        <w:tc>
          <w:tcPr>
            <w:tcW w:w="2034" w:type="pct"/>
          </w:tcPr>
          <w:p w:rsidR="00740658" w:rsidRPr="003C6F39" w:rsidRDefault="00740658" w:rsidP="00740658">
            <w:pPr>
              <w:jc w:val="center"/>
              <w:rPr>
                <w:sz w:val="16"/>
                <w:szCs w:val="16"/>
                <w:lang w:val="en-US"/>
              </w:rPr>
            </w:pPr>
            <w:r>
              <w:rPr>
                <w:sz w:val="16"/>
                <w:szCs w:val="16"/>
                <w:lang w:val="en-US"/>
              </w:rPr>
              <w:t>Drinking alcohol (more tha</w:t>
            </w:r>
            <w:r w:rsidRPr="003C6F39">
              <w:rPr>
                <w:sz w:val="16"/>
                <w:szCs w:val="16"/>
                <w:lang w:val="en-US"/>
              </w:rPr>
              <w:t>n once a week/less)</w:t>
            </w:r>
          </w:p>
        </w:tc>
        <w:tc>
          <w:tcPr>
            <w:tcW w:w="1355" w:type="pct"/>
          </w:tcPr>
          <w:p w:rsidR="00740658" w:rsidRPr="003C6F39" w:rsidRDefault="00740658" w:rsidP="00740658">
            <w:pPr>
              <w:jc w:val="center"/>
              <w:rPr>
                <w:sz w:val="16"/>
                <w:szCs w:val="16"/>
              </w:rPr>
            </w:pPr>
            <w:r w:rsidRPr="003C6F39">
              <w:rPr>
                <w:sz w:val="16"/>
                <w:szCs w:val="16"/>
              </w:rPr>
              <w:t>10,331</w:t>
            </w:r>
          </w:p>
        </w:tc>
        <w:tc>
          <w:tcPr>
            <w:tcW w:w="1611" w:type="pct"/>
          </w:tcPr>
          <w:p w:rsidR="00740658" w:rsidRPr="003C6F39" w:rsidRDefault="00740658" w:rsidP="00740658">
            <w:pPr>
              <w:jc w:val="center"/>
              <w:rPr>
                <w:sz w:val="16"/>
                <w:szCs w:val="16"/>
              </w:rPr>
            </w:pPr>
            <w:r w:rsidRPr="003C6F39">
              <w:rPr>
                <w:sz w:val="16"/>
                <w:szCs w:val="16"/>
              </w:rPr>
              <w:t>(4,326-24,674)**</w:t>
            </w:r>
          </w:p>
        </w:tc>
      </w:tr>
      <w:tr w:rsidR="00740658" w:rsidRPr="003C6F39" w:rsidTr="00740658">
        <w:tc>
          <w:tcPr>
            <w:tcW w:w="2034" w:type="pct"/>
          </w:tcPr>
          <w:p w:rsidR="00740658" w:rsidRPr="003C6F39" w:rsidRDefault="00740658" w:rsidP="00740658">
            <w:pPr>
              <w:jc w:val="center"/>
              <w:rPr>
                <w:sz w:val="16"/>
                <w:szCs w:val="16"/>
                <w:lang w:val="en-US"/>
              </w:rPr>
            </w:pPr>
            <w:r>
              <w:rPr>
                <w:sz w:val="16"/>
                <w:szCs w:val="16"/>
                <w:lang w:val="en-US"/>
              </w:rPr>
              <w:t>Being drunk (more tha</w:t>
            </w:r>
            <w:r w:rsidRPr="003C6F39">
              <w:rPr>
                <w:sz w:val="16"/>
                <w:szCs w:val="16"/>
                <w:lang w:val="en-US"/>
              </w:rPr>
              <w:t>n once a week/less)</w:t>
            </w:r>
          </w:p>
        </w:tc>
        <w:tc>
          <w:tcPr>
            <w:tcW w:w="1355" w:type="pct"/>
          </w:tcPr>
          <w:p w:rsidR="00740658" w:rsidRPr="003C6F39" w:rsidRDefault="00740658" w:rsidP="00740658">
            <w:pPr>
              <w:jc w:val="center"/>
              <w:rPr>
                <w:sz w:val="16"/>
                <w:szCs w:val="16"/>
              </w:rPr>
            </w:pPr>
            <w:r w:rsidRPr="003C6F39">
              <w:rPr>
                <w:sz w:val="16"/>
                <w:szCs w:val="16"/>
              </w:rPr>
              <w:t>4,300</w:t>
            </w:r>
          </w:p>
        </w:tc>
        <w:tc>
          <w:tcPr>
            <w:tcW w:w="1611" w:type="pct"/>
          </w:tcPr>
          <w:p w:rsidR="00740658" w:rsidRPr="003C6F39" w:rsidRDefault="00740658" w:rsidP="00740658">
            <w:pPr>
              <w:jc w:val="center"/>
              <w:rPr>
                <w:sz w:val="16"/>
                <w:szCs w:val="16"/>
              </w:rPr>
            </w:pPr>
            <w:r w:rsidRPr="003C6F39">
              <w:rPr>
                <w:sz w:val="16"/>
                <w:szCs w:val="16"/>
              </w:rPr>
              <w:t>(1,831-10,098)**</w:t>
            </w:r>
          </w:p>
        </w:tc>
      </w:tr>
    </w:tbl>
    <w:p w:rsidR="00740658" w:rsidRDefault="00740658" w:rsidP="00740658">
      <w:pPr>
        <w:spacing w:line="360" w:lineRule="auto"/>
        <w:jc w:val="both"/>
        <w:rPr>
          <w:sz w:val="16"/>
          <w:szCs w:val="16"/>
          <w:lang w:bidi="en-US"/>
        </w:rPr>
      </w:pPr>
      <w:r w:rsidRPr="00740658">
        <w:rPr>
          <w:sz w:val="16"/>
          <w:szCs w:val="16"/>
          <w:lang w:bidi="en-US"/>
        </w:rPr>
        <w:t>*p&lt;0</w:t>
      </w:r>
      <w:proofErr w:type="gramStart"/>
      <w:r w:rsidRPr="00740658">
        <w:rPr>
          <w:sz w:val="16"/>
          <w:szCs w:val="16"/>
          <w:lang w:bidi="en-US"/>
        </w:rPr>
        <w:t>,05</w:t>
      </w:r>
      <w:proofErr w:type="gramEnd"/>
      <w:r w:rsidRPr="00740658">
        <w:rPr>
          <w:sz w:val="16"/>
          <w:szCs w:val="16"/>
          <w:lang w:bidi="en-US"/>
        </w:rPr>
        <w:t>, **p&lt;0,01</w:t>
      </w:r>
    </w:p>
    <w:p w:rsidR="00740658" w:rsidRDefault="00740658" w:rsidP="00740658">
      <w:pPr>
        <w:spacing w:line="360" w:lineRule="auto"/>
        <w:jc w:val="both"/>
        <w:rPr>
          <w:sz w:val="16"/>
          <w:szCs w:val="16"/>
          <w:lang w:bidi="en-US"/>
        </w:rPr>
      </w:pPr>
    </w:p>
    <w:p w:rsidR="00740658" w:rsidRDefault="00740658" w:rsidP="00740658">
      <w:pPr>
        <w:ind w:firstLine="119"/>
        <w:jc w:val="both"/>
        <w:rPr>
          <w:lang w:bidi="en-US"/>
        </w:rPr>
      </w:pPr>
      <w:r w:rsidRPr="00740658">
        <w:rPr>
          <w:lang w:bidi="en-US"/>
        </w:rPr>
        <w:t>When Table 2 is examined; it is seen that the monthly income of the family, father’s level of education, mother’s level of education, age, place of birth, grade and gender variables are not a risk factor of illegal DPM using, however, smoking, alcohol use and becoming drunk 3 times a week represents risk factors in the use of DPM.</w:t>
      </w:r>
    </w:p>
    <w:p w:rsidR="00740658" w:rsidRDefault="00740658" w:rsidP="00740658">
      <w:pPr>
        <w:ind w:firstLine="119"/>
        <w:jc w:val="both"/>
        <w:rPr>
          <w:lang w:bidi="en-US"/>
        </w:rPr>
      </w:pPr>
    </w:p>
    <w:p w:rsidR="00740658" w:rsidRDefault="00740658" w:rsidP="00740658">
      <w:pPr>
        <w:ind w:firstLine="119"/>
        <w:jc w:val="both"/>
        <w:rPr>
          <w:b/>
          <w:sz w:val="16"/>
          <w:szCs w:val="16"/>
        </w:rPr>
      </w:pPr>
      <w:r w:rsidRPr="00740658">
        <w:rPr>
          <w:b/>
          <w:lang w:bidi="en-US"/>
        </w:rPr>
        <w:t xml:space="preserve">4. </w:t>
      </w:r>
      <w:r w:rsidRPr="00740658">
        <w:rPr>
          <w:b/>
          <w:lang w:eastAsia="tr-TR"/>
        </w:rPr>
        <w:t>Discussion</w:t>
      </w:r>
    </w:p>
    <w:p w:rsidR="005764E3" w:rsidRDefault="005764E3" w:rsidP="005764E3">
      <w:pPr>
        <w:jc w:val="both"/>
        <w:rPr>
          <w:sz w:val="16"/>
          <w:szCs w:val="16"/>
        </w:rPr>
      </w:pPr>
    </w:p>
    <w:p w:rsidR="005764E3" w:rsidRDefault="00740658" w:rsidP="005764E3">
      <w:pPr>
        <w:ind w:firstLine="119"/>
        <w:jc w:val="both"/>
        <w:rPr>
          <w:lang w:bidi="en-US"/>
        </w:rPr>
      </w:pPr>
      <w:r w:rsidRPr="00740658">
        <w:rPr>
          <w:lang w:bidi="en-US"/>
        </w:rPr>
        <w:t>This study reveals that substance use among middle school youth is an important problem in the TRNC. This study was carried out to determine the prevalence of substance use among the secondary school youth in TRNC (</w:t>
      </w:r>
      <w:proofErr w:type="spellStart"/>
      <w:r w:rsidRPr="00740658">
        <w:rPr>
          <w:lang w:bidi="en-US"/>
        </w:rPr>
        <w:t>Çakıcı</w:t>
      </w:r>
      <w:proofErr w:type="spellEnd"/>
      <w:r w:rsidRPr="00740658">
        <w:rPr>
          <w:lang w:bidi="en-US"/>
        </w:rPr>
        <w:t xml:space="preserve"> et al., 2001), and as it includes all secondary schools, refers to the same age group and consists of the same questions; serves as a 15 year old follow-up survey and has enabled us to monitor the changes of the rates in substance preferences in the TRNC.  </w:t>
      </w:r>
    </w:p>
    <w:p w:rsidR="005764E3" w:rsidRDefault="005764E3" w:rsidP="005764E3">
      <w:pPr>
        <w:ind w:firstLine="119"/>
        <w:jc w:val="both"/>
        <w:rPr>
          <w:lang w:bidi="en-US"/>
        </w:rPr>
      </w:pPr>
    </w:p>
    <w:p w:rsidR="005764E3" w:rsidRDefault="00740658" w:rsidP="005764E3">
      <w:pPr>
        <w:ind w:firstLine="119"/>
        <w:jc w:val="both"/>
        <w:rPr>
          <w:lang w:bidi="en-US"/>
        </w:rPr>
      </w:pPr>
      <w:r w:rsidRPr="00740658">
        <w:rPr>
          <w:lang w:bidi="en-US"/>
        </w:rPr>
        <w:t>The survey shows that, 8.7% of students tried smoking at least once in their life. In 2001, this ratio was found to be 19.7% among third-year students (</w:t>
      </w:r>
      <w:proofErr w:type="spellStart"/>
      <w:r w:rsidRPr="00740658">
        <w:rPr>
          <w:lang w:bidi="en-US"/>
        </w:rPr>
        <w:t>Çakıcı</w:t>
      </w:r>
      <w:proofErr w:type="spellEnd"/>
      <w:r w:rsidRPr="00740658">
        <w:rPr>
          <w:lang w:bidi="en-US"/>
        </w:rPr>
        <w:t xml:space="preserve"> et al., 2001) and the rate among </w:t>
      </w:r>
      <w:proofErr w:type="gramStart"/>
      <w:r w:rsidRPr="00740658">
        <w:rPr>
          <w:lang w:bidi="en-US"/>
        </w:rPr>
        <w:t>middle  school</w:t>
      </w:r>
      <w:proofErr w:type="gramEnd"/>
      <w:r w:rsidRPr="00740658">
        <w:rPr>
          <w:lang w:bidi="en-US"/>
        </w:rPr>
        <w:t xml:space="preserve"> students was 12.4%. Similarly, in another study conducted in Turkey, 29.3% of students reported using cigarettes at least once in their life (</w:t>
      </w:r>
      <w:proofErr w:type="spellStart"/>
      <w:r w:rsidRPr="00740658">
        <w:rPr>
          <w:lang w:bidi="en-US"/>
        </w:rPr>
        <w:t>Özcebe</w:t>
      </w:r>
      <w:proofErr w:type="spellEnd"/>
      <w:r w:rsidRPr="00740658">
        <w:rPr>
          <w:lang w:bidi="en-US"/>
        </w:rPr>
        <w:t>, 2008). In the ESPAD project which includes 26 countries (</w:t>
      </w:r>
      <w:proofErr w:type="spellStart"/>
      <w:r w:rsidRPr="00740658">
        <w:rPr>
          <w:lang w:bidi="en-US"/>
        </w:rPr>
        <w:t>Hibell</w:t>
      </w:r>
      <w:proofErr w:type="spellEnd"/>
      <w:r w:rsidRPr="00740658">
        <w:rPr>
          <w:lang w:bidi="en-US"/>
        </w:rPr>
        <w:t xml:space="preserve"> et al., 1997) in 1995, 31 countries (</w:t>
      </w:r>
      <w:proofErr w:type="spellStart"/>
      <w:r w:rsidRPr="00740658">
        <w:rPr>
          <w:lang w:bidi="en-US"/>
        </w:rPr>
        <w:t>Hibell</w:t>
      </w:r>
      <w:proofErr w:type="spellEnd"/>
      <w:r w:rsidRPr="00740658">
        <w:rPr>
          <w:lang w:bidi="en-US"/>
        </w:rPr>
        <w:t xml:space="preserve"> et al., 2000) in 1999 and 36 countries (</w:t>
      </w:r>
      <w:proofErr w:type="spellStart"/>
      <w:r w:rsidRPr="00740658">
        <w:rPr>
          <w:lang w:bidi="en-US"/>
        </w:rPr>
        <w:t>Hibell</w:t>
      </w:r>
      <w:proofErr w:type="spellEnd"/>
      <w:r w:rsidRPr="00740658">
        <w:rPr>
          <w:lang w:bidi="en-US"/>
        </w:rPr>
        <w:t xml:space="preserve"> et al., 2012), the rate of smoking among students in the TRNC as well as Turkey, shown to be lower compared to the results of studies done in the same age group with similar method in ESPAD countries.</w:t>
      </w:r>
      <w:r w:rsidRPr="00740658" w:rsidDel="002A3D79">
        <w:rPr>
          <w:lang w:bidi="en-US"/>
        </w:rPr>
        <w:t xml:space="preserve"> </w:t>
      </w:r>
    </w:p>
    <w:p w:rsidR="005764E3" w:rsidRDefault="005764E3" w:rsidP="005764E3">
      <w:pPr>
        <w:ind w:firstLine="119"/>
        <w:jc w:val="both"/>
        <w:rPr>
          <w:lang w:bidi="en-US"/>
        </w:rPr>
      </w:pPr>
    </w:p>
    <w:p w:rsidR="005764E3" w:rsidRDefault="00740658" w:rsidP="005764E3">
      <w:pPr>
        <w:ind w:firstLine="119"/>
        <w:jc w:val="both"/>
        <w:rPr>
          <w:lang w:bidi="en-US"/>
        </w:rPr>
      </w:pPr>
      <w:r w:rsidRPr="00740658">
        <w:rPr>
          <w:lang w:bidi="en-US"/>
        </w:rPr>
        <w:t>In the study, 36.3% of alcohol use was observed among young people at least once in their life. The prevalence of the use of alcohol was found to be 61.9% (</w:t>
      </w:r>
      <w:proofErr w:type="spellStart"/>
      <w:r w:rsidRPr="00740658">
        <w:rPr>
          <w:lang w:bidi="en-US"/>
        </w:rPr>
        <w:t>Çakıcı</w:t>
      </w:r>
      <w:proofErr w:type="spellEnd"/>
      <w:r w:rsidRPr="00740658">
        <w:rPr>
          <w:lang w:bidi="en-US"/>
        </w:rPr>
        <w:t xml:space="preserve"> et al., 2001) In a previous survey conducted among the middle school students and in this study, it was determined that the alcohol consumption rate use was 49.3% in the same age group. However, alcohol use was found to be at higher levels when compared to previous studies. It seems that; </w:t>
      </w:r>
      <w:r w:rsidRPr="00740658">
        <w:rPr>
          <w:lang w:bidi="en-US"/>
        </w:rPr>
        <w:lastRenderedPageBreak/>
        <w:t xml:space="preserve">young people in Croatia, Estonia, Italy, Portugal, Slovakia, Slovenia, Sweden, Ukraine and Turkey are using alcohol in their homes as they are in the TRNC. In Denmark, the Faroe Islands, Finland, Iceland, Lithuania and Norway, the most used places are friends’ houses; in South Cyprus and Czech Republic mostly used places are discos, in Ireland it is bars and in Bulgaria they use it in pubs and far from family control </w:t>
      </w:r>
      <w:proofErr w:type="spellStart"/>
      <w:r w:rsidRPr="00740658">
        <w:rPr>
          <w:lang w:bidi="en-US"/>
        </w:rPr>
        <w:t>Çakıcı</w:t>
      </w:r>
      <w:proofErr w:type="spellEnd"/>
      <w:r w:rsidRPr="00740658">
        <w:rPr>
          <w:lang w:bidi="en-US"/>
        </w:rPr>
        <w:t xml:space="preserve"> et al., 2015, </w:t>
      </w:r>
      <w:proofErr w:type="spellStart"/>
      <w:r w:rsidRPr="00740658">
        <w:rPr>
          <w:lang w:bidi="en-US"/>
        </w:rPr>
        <w:t>Simatwa</w:t>
      </w:r>
      <w:proofErr w:type="spellEnd"/>
      <w:r w:rsidRPr="00740658">
        <w:rPr>
          <w:lang w:bidi="en-US"/>
        </w:rPr>
        <w:t>, 2014).</w:t>
      </w:r>
    </w:p>
    <w:p w:rsidR="005764E3" w:rsidRDefault="005764E3" w:rsidP="005764E3">
      <w:pPr>
        <w:ind w:firstLine="119"/>
        <w:jc w:val="both"/>
        <w:rPr>
          <w:lang w:bidi="en-US"/>
        </w:rPr>
      </w:pPr>
    </w:p>
    <w:p w:rsidR="005764E3" w:rsidRDefault="00740658" w:rsidP="005764E3">
      <w:pPr>
        <w:ind w:firstLine="119"/>
        <w:jc w:val="both"/>
        <w:rPr>
          <w:lang w:bidi="en-US"/>
        </w:rPr>
      </w:pPr>
      <w:r w:rsidRPr="00740658">
        <w:rPr>
          <w:lang w:bidi="en-US"/>
        </w:rPr>
        <w:t>In the secondary school study in the TRNC, we learned that the rate of middle school students using DPM at least once in their life was 5.8% in 2001 and in 2015 it was 5.5%, a similar rate among young people. DPM ratio was found to be 4.9% among all middle school students. Nevertheless, it is observed that illegal drug use rate has increased to 3.9%. According to NIDA's research report in 2011, half of the adolescents were found to use illegal substances at least once (</w:t>
      </w:r>
      <w:proofErr w:type="spellStart"/>
      <w:r w:rsidRPr="00740658">
        <w:rPr>
          <w:lang w:bidi="en-US"/>
        </w:rPr>
        <w:t>Murphey</w:t>
      </w:r>
      <w:proofErr w:type="spellEnd"/>
      <w:r w:rsidRPr="00740658">
        <w:rPr>
          <w:lang w:bidi="en-US"/>
        </w:rPr>
        <w:t xml:space="preserve">, Barry, </w:t>
      </w:r>
      <w:proofErr w:type="spellStart"/>
      <w:r w:rsidRPr="00740658">
        <w:rPr>
          <w:lang w:bidi="en-US"/>
        </w:rPr>
        <w:t>Vaughnn</w:t>
      </w:r>
      <w:proofErr w:type="spellEnd"/>
      <w:r w:rsidRPr="00740658">
        <w:rPr>
          <w:lang w:bidi="en-US"/>
        </w:rPr>
        <w:t xml:space="preserve">, Guzman and </w:t>
      </w:r>
      <w:proofErr w:type="spellStart"/>
      <w:r w:rsidRPr="00740658">
        <w:rPr>
          <w:lang w:bidi="en-US"/>
        </w:rPr>
        <w:t>Terzian</w:t>
      </w:r>
      <w:proofErr w:type="spellEnd"/>
      <w:r w:rsidRPr="00740658">
        <w:rPr>
          <w:lang w:bidi="en-US"/>
        </w:rPr>
        <w:t xml:space="preserve">, 2013) despite the challenges on collecting data on illegal substance use in adolescents. </w:t>
      </w:r>
    </w:p>
    <w:p w:rsidR="005764E3" w:rsidRDefault="005764E3" w:rsidP="005764E3">
      <w:pPr>
        <w:ind w:firstLine="119"/>
        <w:jc w:val="both"/>
        <w:rPr>
          <w:lang w:bidi="en-US"/>
        </w:rPr>
      </w:pPr>
    </w:p>
    <w:p w:rsidR="005764E3" w:rsidRDefault="00740658" w:rsidP="005764E3">
      <w:pPr>
        <w:ind w:firstLine="119"/>
        <w:jc w:val="both"/>
        <w:rPr>
          <w:lang w:bidi="en-US"/>
        </w:rPr>
      </w:pPr>
      <w:r w:rsidRPr="00740658">
        <w:rPr>
          <w:lang w:bidi="en-US"/>
        </w:rPr>
        <w:t xml:space="preserve">Bonsai has become the most popular ingredient in recent years. The use of bonsai is spreading very rapidly in the TRNC in recent years, since it is cheap. In recent years, it has been seen that the use of synthetic </w:t>
      </w:r>
      <w:proofErr w:type="spellStart"/>
      <w:r w:rsidRPr="00740658">
        <w:rPr>
          <w:lang w:bidi="en-US"/>
        </w:rPr>
        <w:t>cannabinoids</w:t>
      </w:r>
      <w:proofErr w:type="spellEnd"/>
      <w:r w:rsidRPr="00740658">
        <w:rPr>
          <w:lang w:bidi="en-US"/>
        </w:rPr>
        <w:t xml:space="preserve"> is spreading and replacing the cannabis and ecstasy (</w:t>
      </w:r>
      <w:proofErr w:type="spellStart"/>
      <w:r w:rsidRPr="00740658">
        <w:rPr>
          <w:lang w:bidi="en-US"/>
        </w:rPr>
        <w:t>Doğan</w:t>
      </w:r>
      <w:proofErr w:type="spellEnd"/>
      <w:r w:rsidRPr="00740658">
        <w:rPr>
          <w:lang w:bidi="en-US"/>
        </w:rPr>
        <w:t xml:space="preserve"> and </w:t>
      </w:r>
      <w:proofErr w:type="spellStart"/>
      <w:r w:rsidRPr="00740658">
        <w:rPr>
          <w:lang w:bidi="en-US"/>
        </w:rPr>
        <w:t>Demirci</w:t>
      </w:r>
      <w:proofErr w:type="spellEnd"/>
      <w:r w:rsidRPr="00740658">
        <w:rPr>
          <w:lang w:bidi="en-US"/>
        </w:rPr>
        <w:t>, 2014). However, 0</w:t>
      </w:r>
      <w:proofErr w:type="gramStart"/>
      <w:r w:rsidRPr="00740658">
        <w:rPr>
          <w:lang w:bidi="en-US"/>
        </w:rPr>
        <w:t>,9</w:t>
      </w:r>
      <w:proofErr w:type="gramEnd"/>
      <w:r w:rsidRPr="00740658">
        <w:rPr>
          <w:lang w:bidi="en-US"/>
        </w:rPr>
        <w:t xml:space="preserve">% of ecstasy and 0,9% of cannabis use in this study revealed that ecstasy and cannabis use was less than synthetic </w:t>
      </w:r>
      <w:proofErr w:type="spellStart"/>
      <w:r w:rsidRPr="00740658">
        <w:rPr>
          <w:lang w:bidi="en-US"/>
        </w:rPr>
        <w:t>cannabinoid</w:t>
      </w:r>
      <w:proofErr w:type="spellEnd"/>
      <w:r w:rsidRPr="00740658">
        <w:rPr>
          <w:lang w:bidi="en-US"/>
        </w:rPr>
        <w:t xml:space="preserve"> usage compared to previous studies. It was determined that the overall rate of synthetic </w:t>
      </w:r>
      <w:proofErr w:type="spellStart"/>
      <w:r w:rsidRPr="00740658">
        <w:rPr>
          <w:lang w:bidi="en-US"/>
        </w:rPr>
        <w:t>cannabinoid</w:t>
      </w:r>
      <w:proofErr w:type="spellEnd"/>
      <w:r w:rsidRPr="00740658">
        <w:rPr>
          <w:lang w:bidi="en-US"/>
        </w:rPr>
        <w:t xml:space="preserve"> use was 0</w:t>
      </w:r>
      <w:proofErr w:type="gramStart"/>
      <w:r w:rsidRPr="00740658">
        <w:rPr>
          <w:lang w:bidi="en-US"/>
        </w:rPr>
        <w:t>,8</w:t>
      </w:r>
      <w:proofErr w:type="gramEnd"/>
      <w:r w:rsidRPr="00740658">
        <w:rPr>
          <w:lang w:bidi="en-US"/>
        </w:rPr>
        <w:t xml:space="preserve">% in this study, and the rate of synthetic </w:t>
      </w:r>
      <w:proofErr w:type="spellStart"/>
      <w:r w:rsidRPr="00740658">
        <w:rPr>
          <w:lang w:bidi="en-US"/>
        </w:rPr>
        <w:t>cannabinoid</w:t>
      </w:r>
      <w:proofErr w:type="spellEnd"/>
      <w:r w:rsidRPr="00740658">
        <w:rPr>
          <w:lang w:bidi="en-US"/>
        </w:rPr>
        <w:t xml:space="preserve"> use was 0,6% among third grade middle school students. </w:t>
      </w:r>
    </w:p>
    <w:p w:rsidR="005764E3" w:rsidRDefault="005764E3" w:rsidP="005764E3">
      <w:pPr>
        <w:ind w:firstLine="119"/>
        <w:jc w:val="both"/>
        <w:rPr>
          <w:lang w:bidi="en-US"/>
        </w:rPr>
      </w:pPr>
    </w:p>
    <w:p w:rsidR="005764E3" w:rsidRDefault="00740658" w:rsidP="005764E3">
      <w:pPr>
        <w:ind w:firstLine="119"/>
        <w:jc w:val="both"/>
        <w:rPr>
          <w:lang w:bidi="en-US"/>
        </w:rPr>
      </w:pPr>
      <w:r w:rsidRPr="00740658">
        <w:rPr>
          <w:lang w:bidi="en-US"/>
        </w:rPr>
        <w:t>There is an upward trend in cannabis use among young people in schools for years. On the other hand, it was observed that the rate of cannabis use in this study was 0</w:t>
      </w:r>
      <w:proofErr w:type="gramStart"/>
      <w:r w:rsidRPr="00740658">
        <w:rPr>
          <w:lang w:bidi="en-US"/>
        </w:rPr>
        <w:t>,9</w:t>
      </w:r>
      <w:proofErr w:type="gramEnd"/>
      <w:r w:rsidRPr="00740658">
        <w:rPr>
          <w:lang w:bidi="en-US"/>
        </w:rPr>
        <w:t>% and 0,8% among third grade middle school students. It has been found that cannabis use rate was 2.7% in high schools and 2.9% in overall community (</w:t>
      </w:r>
      <w:proofErr w:type="spellStart"/>
      <w:r w:rsidRPr="00740658">
        <w:rPr>
          <w:lang w:bidi="en-US"/>
        </w:rPr>
        <w:t>Çakıcı</w:t>
      </w:r>
      <w:proofErr w:type="spellEnd"/>
      <w:r w:rsidRPr="00740658">
        <w:rPr>
          <w:lang w:bidi="en-US"/>
        </w:rPr>
        <w:t xml:space="preserve"> et al., 2015, </w:t>
      </w:r>
      <w:proofErr w:type="spellStart"/>
      <w:r w:rsidRPr="00740658">
        <w:rPr>
          <w:lang w:bidi="en-US"/>
        </w:rPr>
        <w:t>Çakıcı</w:t>
      </w:r>
      <w:proofErr w:type="spellEnd"/>
      <w:r w:rsidRPr="00740658">
        <w:rPr>
          <w:lang w:bidi="en-US"/>
        </w:rPr>
        <w:t xml:space="preserve"> et al., 2003). Contrary to the results of previous surveys, all previous reports, school researches and studies on addicts show that most used illegal substance in the TRNC is cannabis (</w:t>
      </w:r>
      <w:proofErr w:type="spellStart"/>
      <w:r w:rsidRPr="00740658">
        <w:rPr>
          <w:lang w:bidi="en-US"/>
        </w:rPr>
        <w:t>Çakıcı</w:t>
      </w:r>
      <w:proofErr w:type="spellEnd"/>
      <w:r w:rsidRPr="00740658">
        <w:rPr>
          <w:lang w:bidi="en-US"/>
        </w:rPr>
        <w:t xml:space="preserve">, 1999, </w:t>
      </w:r>
      <w:proofErr w:type="spellStart"/>
      <w:r w:rsidRPr="00740658">
        <w:rPr>
          <w:lang w:bidi="en-US"/>
        </w:rPr>
        <w:t>Çakıcı</w:t>
      </w:r>
      <w:proofErr w:type="spellEnd"/>
      <w:r w:rsidRPr="00740658">
        <w:rPr>
          <w:lang w:bidi="en-US"/>
        </w:rPr>
        <w:t xml:space="preserve"> and </w:t>
      </w:r>
      <w:proofErr w:type="spellStart"/>
      <w:r w:rsidRPr="00740658">
        <w:rPr>
          <w:lang w:bidi="en-US"/>
        </w:rPr>
        <w:t>Çakici</w:t>
      </w:r>
      <w:proofErr w:type="spellEnd"/>
      <w:r w:rsidRPr="00740658">
        <w:rPr>
          <w:lang w:bidi="en-US"/>
        </w:rPr>
        <w:t xml:space="preserve">, 2000a, 2000b, </w:t>
      </w:r>
      <w:proofErr w:type="spellStart"/>
      <w:r w:rsidRPr="00740658">
        <w:rPr>
          <w:lang w:bidi="en-US"/>
        </w:rPr>
        <w:t>Çakıcı</w:t>
      </w:r>
      <w:proofErr w:type="spellEnd"/>
      <w:r w:rsidRPr="00740658">
        <w:rPr>
          <w:lang w:bidi="en-US"/>
        </w:rPr>
        <w:t xml:space="preserve"> et al., 2003, </w:t>
      </w:r>
      <w:proofErr w:type="spellStart"/>
      <w:r w:rsidRPr="00740658">
        <w:rPr>
          <w:lang w:bidi="en-US"/>
        </w:rPr>
        <w:t>Çakıcı</w:t>
      </w:r>
      <w:proofErr w:type="spellEnd"/>
      <w:r w:rsidRPr="00740658">
        <w:rPr>
          <w:lang w:bidi="en-US"/>
        </w:rPr>
        <w:t xml:space="preserve"> et al. 2000, </w:t>
      </w:r>
      <w:proofErr w:type="spellStart"/>
      <w:r w:rsidRPr="00740658">
        <w:rPr>
          <w:lang w:bidi="en-US"/>
        </w:rPr>
        <w:t>Çakıcı</w:t>
      </w:r>
      <w:proofErr w:type="spellEnd"/>
      <w:r w:rsidRPr="00740658">
        <w:rPr>
          <w:lang w:bidi="en-US"/>
        </w:rPr>
        <w:t xml:space="preserve"> et al., 2006, </w:t>
      </w:r>
      <w:proofErr w:type="spellStart"/>
      <w:r w:rsidRPr="00740658">
        <w:rPr>
          <w:lang w:bidi="en-US"/>
        </w:rPr>
        <w:t>Çakıcı</w:t>
      </w:r>
      <w:proofErr w:type="spellEnd"/>
      <w:r w:rsidRPr="00740658">
        <w:rPr>
          <w:lang w:bidi="en-US"/>
        </w:rPr>
        <w:t xml:space="preserve"> et al., 2015).</w:t>
      </w:r>
    </w:p>
    <w:p w:rsidR="005764E3" w:rsidRDefault="005764E3" w:rsidP="005764E3">
      <w:pPr>
        <w:ind w:firstLine="119"/>
        <w:jc w:val="both"/>
        <w:rPr>
          <w:lang w:bidi="en-US"/>
        </w:rPr>
      </w:pPr>
    </w:p>
    <w:p w:rsidR="005764E3" w:rsidRDefault="00740658" w:rsidP="005764E3">
      <w:pPr>
        <w:ind w:firstLine="119"/>
        <w:jc w:val="both"/>
        <w:rPr>
          <w:lang w:bidi="en-US"/>
        </w:rPr>
      </w:pPr>
      <w:r w:rsidRPr="00740658">
        <w:rPr>
          <w:lang w:bidi="en-US"/>
        </w:rPr>
        <w:t>In this study, it was found that the rate of volatile substance use among middle school students was 1.6% and 1.8% among third grade middle school students. Although volatile substance use tends to decline over the years, it is still the most common substance after cigarettes and alcohol. The study also shows that volatile substance use, follows after pill use (</w:t>
      </w:r>
      <w:proofErr w:type="spellStart"/>
      <w:r w:rsidRPr="00740658">
        <w:rPr>
          <w:lang w:bidi="en-US"/>
        </w:rPr>
        <w:t>diazem</w:t>
      </w:r>
      <w:proofErr w:type="spellEnd"/>
      <w:r w:rsidRPr="00740658">
        <w:rPr>
          <w:lang w:bidi="en-US"/>
        </w:rPr>
        <w:t xml:space="preserve"> etc.) for treatment and the use of other pills. </w:t>
      </w:r>
      <w:proofErr w:type="gramStart"/>
      <w:r w:rsidRPr="00740658">
        <w:rPr>
          <w:lang w:bidi="en-US"/>
        </w:rPr>
        <w:t>The fact that volatile substances are easier to find and cheaper than other substances may be helping these substances to spread (</w:t>
      </w:r>
      <w:proofErr w:type="spellStart"/>
      <w:r w:rsidRPr="00740658">
        <w:rPr>
          <w:lang w:bidi="en-US"/>
        </w:rPr>
        <w:t>Pandina</w:t>
      </w:r>
      <w:proofErr w:type="spellEnd"/>
      <w:r w:rsidRPr="00740658">
        <w:rPr>
          <w:lang w:bidi="en-US"/>
        </w:rPr>
        <w:t xml:space="preserve"> and </w:t>
      </w:r>
      <w:proofErr w:type="spellStart"/>
      <w:r w:rsidRPr="00740658">
        <w:rPr>
          <w:lang w:bidi="en-US"/>
        </w:rPr>
        <w:t>Hendren</w:t>
      </w:r>
      <w:proofErr w:type="spellEnd"/>
      <w:r w:rsidRPr="00740658">
        <w:rPr>
          <w:lang w:bidi="en-US"/>
        </w:rPr>
        <w:t>, 1999).</w:t>
      </w:r>
      <w:proofErr w:type="gramEnd"/>
      <w:r w:rsidRPr="00740658">
        <w:rPr>
          <w:lang w:bidi="en-US"/>
        </w:rPr>
        <w:t xml:space="preserve"> It is seen that the most commonly used substance after cigarettes and alcohol are volatile substances in the studies carried out in Turkey (</w:t>
      </w:r>
      <w:proofErr w:type="spellStart"/>
      <w:r w:rsidRPr="00740658">
        <w:rPr>
          <w:lang w:bidi="en-US"/>
        </w:rPr>
        <w:t>Yazman</w:t>
      </w:r>
      <w:proofErr w:type="spellEnd"/>
      <w:r w:rsidRPr="00740658">
        <w:rPr>
          <w:lang w:bidi="en-US"/>
        </w:rPr>
        <w:t xml:space="preserve">, 1995; </w:t>
      </w:r>
      <w:proofErr w:type="spellStart"/>
      <w:r w:rsidRPr="00740658">
        <w:rPr>
          <w:lang w:bidi="en-US"/>
        </w:rPr>
        <w:t>Ögel</w:t>
      </w:r>
      <w:proofErr w:type="spellEnd"/>
      <w:r w:rsidRPr="00740658">
        <w:rPr>
          <w:lang w:bidi="en-US"/>
        </w:rPr>
        <w:t xml:space="preserve"> et al., 2001, </w:t>
      </w:r>
      <w:proofErr w:type="spellStart"/>
      <w:r w:rsidRPr="00740658">
        <w:rPr>
          <w:lang w:bidi="en-US"/>
        </w:rPr>
        <w:t>Ögel</w:t>
      </w:r>
      <w:proofErr w:type="spellEnd"/>
      <w:r w:rsidRPr="00740658">
        <w:rPr>
          <w:lang w:bidi="en-US"/>
        </w:rPr>
        <w:t xml:space="preserve"> et al., 2005).</w:t>
      </w:r>
    </w:p>
    <w:p w:rsidR="005764E3" w:rsidRDefault="005764E3" w:rsidP="005764E3">
      <w:pPr>
        <w:ind w:firstLine="119"/>
        <w:jc w:val="both"/>
        <w:rPr>
          <w:lang w:bidi="en-US"/>
        </w:rPr>
      </w:pPr>
    </w:p>
    <w:p w:rsidR="005764E3" w:rsidRDefault="00740658" w:rsidP="005764E3">
      <w:pPr>
        <w:ind w:firstLine="119"/>
        <w:jc w:val="both"/>
        <w:rPr>
          <w:lang w:bidi="en-US"/>
        </w:rPr>
      </w:pPr>
      <w:r w:rsidRPr="00740658">
        <w:rPr>
          <w:lang w:bidi="en-US"/>
        </w:rPr>
        <w:t>The use of sedative-hypnotic tablets among young people has shown increase in 1996 to 1999(</w:t>
      </w:r>
      <w:proofErr w:type="spellStart"/>
      <w:r w:rsidRPr="00740658">
        <w:rPr>
          <w:lang w:bidi="en-US"/>
        </w:rPr>
        <w:t>Çakıcı</w:t>
      </w:r>
      <w:proofErr w:type="spellEnd"/>
      <w:r w:rsidRPr="00740658">
        <w:rPr>
          <w:lang w:bidi="en-US"/>
        </w:rPr>
        <w:t xml:space="preserve"> </w:t>
      </w:r>
      <w:proofErr w:type="spellStart"/>
      <w:r w:rsidRPr="00740658">
        <w:rPr>
          <w:lang w:bidi="en-US"/>
        </w:rPr>
        <w:t>ve</w:t>
      </w:r>
      <w:proofErr w:type="spellEnd"/>
      <w:r w:rsidRPr="00740658">
        <w:rPr>
          <w:lang w:bidi="en-US"/>
        </w:rPr>
        <w:t xml:space="preserve"> </w:t>
      </w:r>
      <w:proofErr w:type="spellStart"/>
      <w:r w:rsidRPr="00740658">
        <w:rPr>
          <w:lang w:bidi="en-US"/>
        </w:rPr>
        <w:t>Çakıcı</w:t>
      </w:r>
      <w:proofErr w:type="spellEnd"/>
      <w:r w:rsidRPr="00740658">
        <w:rPr>
          <w:lang w:bidi="en-US"/>
        </w:rPr>
        <w:t>, 2000a), however it’s been stable since 2004 (</w:t>
      </w:r>
      <w:proofErr w:type="spellStart"/>
      <w:r w:rsidRPr="00740658">
        <w:rPr>
          <w:lang w:bidi="en-US"/>
        </w:rPr>
        <w:t>Çakıcı</w:t>
      </w:r>
      <w:proofErr w:type="spellEnd"/>
      <w:r w:rsidRPr="00740658">
        <w:rPr>
          <w:lang w:bidi="en-US"/>
        </w:rPr>
        <w:t xml:space="preserve"> and </w:t>
      </w:r>
      <w:proofErr w:type="spellStart"/>
      <w:r w:rsidRPr="00740658">
        <w:rPr>
          <w:lang w:bidi="en-US"/>
        </w:rPr>
        <w:t>Çakıcı</w:t>
      </w:r>
      <w:proofErr w:type="spellEnd"/>
      <w:r w:rsidRPr="00740658">
        <w:rPr>
          <w:lang w:bidi="en-US"/>
        </w:rPr>
        <w:t>, 2000b). According to NIDA's research report in 2011, it was found that 22% of the 12th-year-olds tried prescription drugs at least once in their life without medical supervision (</w:t>
      </w:r>
      <w:proofErr w:type="spellStart"/>
      <w:r w:rsidRPr="00740658">
        <w:rPr>
          <w:lang w:bidi="en-US"/>
        </w:rPr>
        <w:t>Murphey</w:t>
      </w:r>
      <w:proofErr w:type="spellEnd"/>
      <w:r w:rsidRPr="00740658">
        <w:rPr>
          <w:lang w:bidi="en-US"/>
        </w:rPr>
        <w:t xml:space="preserve"> et al., 2013). And in this study, the rate of pill use (</w:t>
      </w:r>
      <w:proofErr w:type="spellStart"/>
      <w:r w:rsidRPr="00740658">
        <w:rPr>
          <w:lang w:bidi="en-US"/>
        </w:rPr>
        <w:t>diazem</w:t>
      </w:r>
      <w:proofErr w:type="spellEnd"/>
      <w:r w:rsidRPr="00740658">
        <w:rPr>
          <w:lang w:bidi="en-US"/>
        </w:rPr>
        <w:t>, etc.) for treatment was found to be 2.1%, the use of other pills was 2.2%, and the use of some pills with alcohol was 1.2%. In addition, among the third grade middle school students; the use of treatment pill (</w:t>
      </w:r>
      <w:proofErr w:type="spellStart"/>
      <w:r w:rsidRPr="00740658">
        <w:rPr>
          <w:lang w:bidi="en-US"/>
        </w:rPr>
        <w:t>diazem</w:t>
      </w:r>
      <w:proofErr w:type="spellEnd"/>
      <w:r w:rsidRPr="00740658">
        <w:rPr>
          <w:lang w:bidi="en-US"/>
        </w:rPr>
        <w:t xml:space="preserve"> etc.) was determined as 2.1%, the use of other pills was 2.5% and the use of some pills with alcohol was 1.8%. It has been determined that the rate of pill use for treatment (</w:t>
      </w:r>
      <w:proofErr w:type="spellStart"/>
      <w:r w:rsidRPr="00740658">
        <w:rPr>
          <w:lang w:bidi="en-US"/>
        </w:rPr>
        <w:t>diazem</w:t>
      </w:r>
      <w:proofErr w:type="spellEnd"/>
      <w:r w:rsidRPr="00740658">
        <w:rPr>
          <w:lang w:bidi="en-US"/>
        </w:rPr>
        <w:t xml:space="preserve"> etc.) and the use of other pills has increased compared to previous years according to previous findings. It was thought that the use of these pills would be reduced by the introduction of the doctor’s prescription to these sedative-hypnotic pills which can be controlled by the Ministry of Health of the TRNC and sold with three copies of green prescriptions which was free to be provided from pharmacies without the need for a doctor's prescription until 2000 (</w:t>
      </w:r>
      <w:proofErr w:type="spellStart"/>
      <w:r w:rsidRPr="00740658">
        <w:rPr>
          <w:lang w:bidi="en-US"/>
        </w:rPr>
        <w:t>Çakıcı</w:t>
      </w:r>
      <w:proofErr w:type="spellEnd"/>
      <w:r w:rsidRPr="00740658">
        <w:rPr>
          <w:lang w:bidi="en-US"/>
        </w:rPr>
        <w:t xml:space="preserve"> et al., 2015; </w:t>
      </w:r>
      <w:proofErr w:type="spellStart"/>
      <w:r w:rsidRPr="00740658">
        <w:rPr>
          <w:lang w:bidi="en-US"/>
        </w:rPr>
        <w:t>Karaokçu</w:t>
      </w:r>
      <w:proofErr w:type="spellEnd"/>
      <w:r w:rsidRPr="00740658">
        <w:rPr>
          <w:lang w:bidi="en-US"/>
        </w:rPr>
        <w:t xml:space="preserve">, 2000; </w:t>
      </w:r>
      <w:proofErr w:type="spellStart"/>
      <w:r w:rsidRPr="00740658">
        <w:rPr>
          <w:lang w:bidi="en-US"/>
        </w:rPr>
        <w:t>Çakıcı</w:t>
      </w:r>
      <w:proofErr w:type="spellEnd"/>
      <w:r w:rsidRPr="00740658">
        <w:rPr>
          <w:lang w:bidi="en-US"/>
        </w:rPr>
        <w:t>, 1999). According to this study, there is still an increase in the use of therapeutic tablets (</w:t>
      </w:r>
      <w:proofErr w:type="spellStart"/>
      <w:r w:rsidRPr="00740658">
        <w:rPr>
          <w:lang w:bidi="en-US"/>
        </w:rPr>
        <w:t>diazem</w:t>
      </w:r>
      <w:proofErr w:type="spellEnd"/>
      <w:r w:rsidRPr="00740658">
        <w:rPr>
          <w:lang w:bidi="en-US"/>
        </w:rPr>
        <w:t xml:space="preserve">, etc.) and other </w:t>
      </w:r>
      <w:proofErr w:type="gramStart"/>
      <w:r w:rsidRPr="00740658">
        <w:rPr>
          <w:lang w:bidi="en-US"/>
        </w:rPr>
        <w:t>tablets,</w:t>
      </w:r>
      <w:proofErr w:type="gramEnd"/>
      <w:r w:rsidRPr="00740658">
        <w:rPr>
          <w:lang w:bidi="en-US"/>
        </w:rPr>
        <w:t xml:space="preserve"> therefore it suggests that there may be a corresponding increase, since these tablets are present in the students' homes, and therefore easy to access.</w:t>
      </w:r>
    </w:p>
    <w:p w:rsidR="005764E3" w:rsidRDefault="005764E3" w:rsidP="005764E3">
      <w:pPr>
        <w:ind w:firstLine="119"/>
        <w:jc w:val="both"/>
        <w:rPr>
          <w:lang w:bidi="en-US"/>
        </w:rPr>
      </w:pPr>
    </w:p>
    <w:p w:rsidR="005764E3" w:rsidRDefault="00740658" w:rsidP="005764E3">
      <w:pPr>
        <w:ind w:firstLine="119"/>
        <w:jc w:val="both"/>
        <w:rPr>
          <w:lang w:bidi="en-US"/>
        </w:rPr>
      </w:pPr>
      <w:r w:rsidRPr="00740658">
        <w:rPr>
          <w:lang w:bidi="en-US"/>
        </w:rPr>
        <w:t>The prevalence of lifetime use of cocaine, heroin, amphetamine, LSD, ecstasy and anabolic steroid was found as 0.5-0.9% in the study. When the prevalence of the use of these substances among middle school third grade students was examined, it shows that the rate of cocaine was 0.4%, heroin was 0.4%, amphetamine was 1.0%, LSD was 0.8%, ecstasy was 1.2% and anabolic steroids was 1.0%. These findings are higher than the rates of 0.2-0.6% in 1996 (</w:t>
      </w:r>
      <w:proofErr w:type="spellStart"/>
      <w:r w:rsidRPr="00740658">
        <w:rPr>
          <w:lang w:bidi="en-US"/>
        </w:rPr>
        <w:t>Çakıcı</w:t>
      </w:r>
      <w:proofErr w:type="spellEnd"/>
      <w:r w:rsidRPr="00740658">
        <w:rPr>
          <w:lang w:bidi="en-US"/>
        </w:rPr>
        <w:t xml:space="preserve"> and </w:t>
      </w:r>
      <w:proofErr w:type="spellStart"/>
      <w:r w:rsidRPr="00740658">
        <w:rPr>
          <w:lang w:bidi="en-US"/>
        </w:rPr>
        <w:t>Çakıcı</w:t>
      </w:r>
      <w:proofErr w:type="spellEnd"/>
      <w:r w:rsidRPr="00740658">
        <w:rPr>
          <w:lang w:bidi="en-US"/>
        </w:rPr>
        <w:t>, 2000a) and 0.3-0.7% in 1999 (</w:t>
      </w:r>
      <w:proofErr w:type="spellStart"/>
      <w:r w:rsidRPr="00740658">
        <w:rPr>
          <w:lang w:bidi="en-US"/>
        </w:rPr>
        <w:t>Çakıcı</w:t>
      </w:r>
      <w:proofErr w:type="spellEnd"/>
      <w:r w:rsidRPr="00740658">
        <w:rPr>
          <w:lang w:bidi="en-US"/>
        </w:rPr>
        <w:t xml:space="preserve"> and </w:t>
      </w:r>
      <w:proofErr w:type="spellStart"/>
      <w:r w:rsidRPr="00740658">
        <w:rPr>
          <w:lang w:bidi="en-US"/>
        </w:rPr>
        <w:t>Çakıcı</w:t>
      </w:r>
      <w:proofErr w:type="spellEnd"/>
      <w:r w:rsidRPr="00740658">
        <w:rPr>
          <w:lang w:bidi="en-US"/>
        </w:rPr>
        <w:t>, 2000b). A threefold increase in the use of ecstasy from 1996 to 2004, the substance used in the highest proportion among these substances, is noticeable. In 2011, the study showed a decrease in the use of ecstasy, but this study found that the rate of use was 0</w:t>
      </w:r>
      <w:proofErr w:type="gramStart"/>
      <w:r w:rsidRPr="00740658">
        <w:rPr>
          <w:lang w:bidi="en-US"/>
        </w:rPr>
        <w:t>,9</w:t>
      </w:r>
      <w:proofErr w:type="gramEnd"/>
      <w:r w:rsidRPr="00740658">
        <w:rPr>
          <w:lang w:bidi="en-US"/>
        </w:rPr>
        <w:t xml:space="preserve">%. Until </w:t>
      </w:r>
      <w:r w:rsidRPr="00740658">
        <w:rPr>
          <w:lang w:bidi="en-US"/>
        </w:rPr>
        <w:lastRenderedPageBreak/>
        <w:t xml:space="preserve">2004, the use of ecstasy was increased due to the absence of ecstasy in the TRNC laws as an illegal substance, but after it is outlawed as an illegal substance in 2004, there was a tendency to decrease in the ecstasy </w:t>
      </w:r>
      <w:proofErr w:type="gramStart"/>
      <w:r w:rsidRPr="00740658">
        <w:rPr>
          <w:lang w:bidi="en-US"/>
        </w:rPr>
        <w:t>use  from</w:t>
      </w:r>
      <w:proofErr w:type="gramEnd"/>
      <w:r w:rsidRPr="00740658">
        <w:rPr>
          <w:lang w:bidi="en-US"/>
        </w:rPr>
        <w:t xml:space="preserve"> 2004 to 2011. However, as has been the case in recent years, there has been a rapid increase in the use of ecstasy and similar stimulants among young people in the TRNC (</w:t>
      </w:r>
      <w:proofErr w:type="spellStart"/>
      <w:r w:rsidRPr="00740658">
        <w:rPr>
          <w:lang w:bidi="en-US"/>
        </w:rPr>
        <w:t>Yazman</w:t>
      </w:r>
      <w:proofErr w:type="spellEnd"/>
      <w:r w:rsidRPr="00740658">
        <w:rPr>
          <w:lang w:bidi="en-US"/>
        </w:rPr>
        <w:t xml:space="preserve">, 1995, Johnston et al., 2000, </w:t>
      </w:r>
      <w:proofErr w:type="spellStart"/>
      <w:r w:rsidRPr="00740658">
        <w:rPr>
          <w:lang w:bidi="en-US"/>
        </w:rPr>
        <w:t>Yacoubian</w:t>
      </w:r>
      <w:proofErr w:type="spellEnd"/>
      <w:r w:rsidRPr="00740658">
        <w:rPr>
          <w:lang w:bidi="en-US"/>
        </w:rPr>
        <w:t xml:space="preserve"> et al., 2002, UNODC, 2004). According to the research report in 2011, it has been determined that the most frequently used substances in the last 30 days by 8 to 12 graders; are cannabis, amphetamines, volatiles and hallucinogens (ecstasy and LSD) (</w:t>
      </w:r>
      <w:proofErr w:type="spellStart"/>
      <w:r w:rsidRPr="00740658">
        <w:rPr>
          <w:lang w:bidi="en-US"/>
        </w:rPr>
        <w:t>Murphey</w:t>
      </w:r>
      <w:proofErr w:type="spellEnd"/>
      <w:r w:rsidRPr="00740658">
        <w:rPr>
          <w:lang w:bidi="en-US"/>
        </w:rPr>
        <w:t xml:space="preserve"> et al., 2013).</w:t>
      </w:r>
    </w:p>
    <w:p w:rsidR="005764E3" w:rsidRDefault="005764E3" w:rsidP="005764E3">
      <w:pPr>
        <w:ind w:firstLine="119"/>
        <w:jc w:val="both"/>
        <w:rPr>
          <w:lang w:bidi="en-US"/>
        </w:rPr>
      </w:pPr>
    </w:p>
    <w:p w:rsidR="005764E3" w:rsidRDefault="00740658" w:rsidP="005764E3">
      <w:pPr>
        <w:ind w:firstLine="119"/>
        <w:jc w:val="both"/>
        <w:rPr>
          <w:lang w:bidi="en-US"/>
        </w:rPr>
      </w:pPr>
      <w:r w:rsidRPr="00740658">
        <w:rPr>
          <w:lang w:bidi="en-US"/>
        </w:rPr>
        <w:t>In this study, the rate of substance testing of male students was higher than that of female students. Similar trends have been observed in all school surveys (</w:t>
      </w:r>
      <w:proofErr w:type="spellStart"/>
      <w:r w:rsidRPr="00740658">
        <w:rPr>
          <w:lang w:bidi="en-US"/>
        </w:rPr>
        <w:t>Çakıcı</w:t>
      </w:r>
      <w:proofErr w:type="spellEnd"/>
      <w:r w:rsidRPr="00740658">
        <w:rPr>
          <w:lang w:bidi="en-US"/>
        </w:rPr>
        <w:t xml:space="preserve"> and </w:t>
      </w:r>
      <w:proofErr w:type="spellStart"/>
      <w:r w:rsidRPr="00740658">
        <w:rPr>
          <w:lang w:bidi="en-US"/>
        </w:rPr>
        <w:t>Çakıcı</w:t>
      </w:r>
      <w:proofErr w:type="spellEnd"/>
      <w:r w:rsidRPr="00740658">
        <w:rPr>
          <w:lang w:bidi="en-US"/>
        </w:rPr>
        <w:t>, 2000a; 2000b). Turkey (</w:t>
      </w:r>
      <w:proofErr w:type="spellStart"/>
      <w:r w:rsidRPr="00740658">
        <w:rPr>
          <w:lang w:bidi="en-US"/>
        </w:rPr>
        <w:t>Ögel</w:t>
      </w:r>
      <w:proofErr w:type="spellEnd"/>
      <w:r w:rsidRPr="00740658">
        <w:rPr>
          <w:lang w:bidi="en-US"/>
        </w:rPr>
        <w:t xml:space="preserve"> et al., 2005), European countries (</w:t>
      </w:r>
      <w:proofErr w:type="spellStart"/>
      <w:r w:rsidRPr="00740658">
        <w:rPr>
          <w:lang w:bidi="en-US"/>
        </w:rPr>
        <w:t>Hibell</w:t>
      </w:r>
      <w:proofErr w:type="spellEnd"/>
      <w:r w:rsidRPr="00740658">
        <w:rPr>
          <w:lang w:bidi="en-US"/>
        </w:rPr>
        <w:t xml:space="preserve"> et al., 1997) and USA (Johnston, 2000) have also been found to have a higher use rate among males. In this study, it was observed that the use of sedative-hypnotic pills rate was found to be about the same rate in male and female students, unlike recent years. In 1996, 1999 and 2004 high-school studies also found that the use of sedative-hypnotic pills was higher among females than among males (</w:t>
      </w:r>
      <w:proofErr w:type="spellStart"/>
      <w:r w:rsidRPr="00740658">
        <w:rPr>
          <w:lang w:bidi="en-US"/>
        </w:rPr>
        <w:t>Çakıcı</w:t>
      </w:r>
      <w:proofErr w:type="spellEnd"/>
      <w:r w:rsidRPr="00740658">
        <w:rPr>
          <w:lang w:bidi="en-US"/>
        </w:rPr>
        <w:t xml:space="preserve"> and </w:t>
      </w:r>
      <w:proofErr w:type="spellStart"/>
      <w:r w:rsidRPr="00740658">
        <w:rPr>
          <w:lang w:bidi="en-US"/>
        </w:rPr>
        <w:t>Çakıcı</w:t>
      </w:r>
      <w:proofErr w:type="spellEnd"/>
      <w:r w:rsidRPr="00740658">
        <w:rPr>
          <w:lang w:bidi="en-US"/>
        </w:rPr>
        <w:t>, 2000a; 2000b). In the 1999 ESPAD study, male students were more likely to use in South Cyprus, while females in Czech Republic, Poland, France, Lithuania, Hungary, Portugal, Romania and Bulgaria had higher rates of use (</w:t>
      </w:r>
      <w:proofErr w:type="spellStart"/>
      <w:r w:rsidRPr="00740658">
        <w:rPr>
          <w:lang w:bidi="en-US"/>
        </w:rPr>
        <w:t>Hibell</w:t>
      </w:r>
      <w:proofErr w:type="spellEnd"/>
      <w:r w:rsidRPr="00740658">
        <w:rPr>
          <w:lang w:bidi="en-US"/>
        </w:rPr>
        <w:t xml:space="preserve"> et al., 2000). </w:t>
      </w:r>
      <w:proofErr w:type="spellStart"/>
      <w:proofErr w:type="gramStart"/>
      <w:r w:rsidRPr="00740658">
        <w:rPr>
          <w:lang w:bidi="en-US"/>
        </w:rPr>
        <w:t>Ögel</w:t>
      </w:r>
      <w:proofErr w:type="spellEnd"/>
      <w:r w:rsidRPr="00740658">
        <w:rPr>
          <w:lang w:bidi="en-US"/>
        </w:rPr>
        <w:t xml:space="preserve"> (2005) reports that sedative-hypnotic pills are drugs that can be found at home and that these drugs can also be easily accessed by girls.</w:t>
      </w:r>
      <w:proofErr w:type="gramEnd"/>
      <w:r w:rsidRPr="00740658">
        <w:rPr>
          <w:lang w:bidi="en-US"/>
        </w:rPr>
        <w:t xml:space="preserve"> It is known that volatile substances and sedative-hypnotic drugs are used more commonly among students since they are easy to access (</w:t>
      </w:r>
      <w:proofErr w:type="spellStart"/>
      <w:r w:rsidRPr="00740658">
        <w:rPr>
          <w:lang w:bidi="en-US"/>
        </w:rPr>
        <w:t>Çakıcı</w:t>
      </w:r>
      <w:proofErr w:type="spellEnd"/>
      <w:r w:rsidRPr="00740658">
        <w:rPr>
          <w:lang w:bidi="en-US"/>
        </w:rPr>
        <w:t xml:space="preserve"> et al., 2001).</w:t>
      </w:r>
    </w:p>
    <w:p w:rsidR="005764E3" w:rsidRDefault="005764E3" w:rsidP="005764E3">
      <w:pPr>
        <w:ind w:firstLine="119"/>
        <w:jc w:val="both"/>
        <w:rPr>
          <w:lang w:bidi="en-US"/>
        </w:rPr>
      </w:pPr>
    </w:p>
    <w:p w:rsidR="005764E3" w:rsidRDefault="00740658" w:rsidP="005764E3">
      <w:pPr>
        <w:ind w:firstLine="119"/>
        <w:jc w:val="both"/>
        <w:rPr>
          <w:lang w:bidi="en-US"/>
        </w:rPr>
      </w:pPr>
      <w:r w:rsidRPr="00740658">
        <w:rPr>
          <w:lang w:bidi="en-US"/>
        </w:rPr>
        <w:t xml:space="preserve">The results of the study indicate that the rate of psychoactive substance use among young people in TRNC is lower than in European </w:t>
      </w:r>
      <w:proofErr w:type="gramStart"/>
      <w:r w:rsidRPr="00740658">
        <w:rPr>
          <w:lang w:bidi="en-US"/>
        </w:rPr>
        <w:t>countries,</w:t>
      </w:r>
      <w:proofErr w:type="gramEnd"/>
      <w:r w:rsidRPr="00740658">
        <w:rPr>
          <w:lang w:bidi="en-US"/>
        </w:rPr>
        <w:t xml:space="preserve"> however there is an increase in illegal substance use. It also shows that the tendency of using many psychoactive substances has increased. The fact that alcohol rates are especially high in TRNC teenagers, suggests that alcohol use should be focused on in the preventive programs. The increase in non-therapeutic use of prescription pills reveals the need to raise awareness of the families of young people. Also for the DPM; counter measures should be taken against the use of volatile substances, cannabis, synthetic </w:t>
      </w:r>
      <w:proofErr w:type="spellStart"/>
      <w:r w:rsidRPr="00740658">
        <w:rPr>
          <w:lang w:bidi="en-US"/>
        </w:rPr>
        <w:t>cannabinoids</w:t>
      </w:r>
      <w:proofErr w:type="spellEnd"/>
      <w:r w:rsidRPr="00740658">
        <w:rPr>
          <w:lang w:bidi="en-US"/>
        </w:rPr>
        <w:t xml:space="preserve"> and ecstasy. Repeated prevalence studies within the middle schools in the TRNC, can able us to monitor the changes in the substance use rates in the TRNC and show us which topics should be emphasized in the preventive programs by determining the preferred substances. </w:t>
      </w:r>
    </w:p>
    <w:p w:rsidR="005764E3" w:rsidRDefault="005764E3" w:rsidP="005764E3">
      <w:pPr>
        <w:ind w:firstLine="119"/>
        <w:jc w:val="both"/>
        <w:rPr>
          <w:lang w:bidi="en-US"/>
        </w:rPr>
      </w:pPr>
    </w:p>
    <w:p w:rsidR="00740658" w:rsidRPr="00740658" w:rsidRDefault="00740658" w:rsidP="005764E3">
      <w:pPr>
        <w:ind w:firstLine="119"/>
        <w:jc w:val="both"/>
        <w:rPr>
          <w:lang w:bidi="en-US"/>
        </w:rPr>
      </w:pPr>
      <w:r w:rsidRPr="00740658">
        <w:rPr>
          <w:lang w:bidi="en-US"/>
        </w:rPr>
        <w:t>This study covers all middle school classes. However, a group of similar aged young people who do not attend school are out of coverage. In order to be able to demonstrate the psychoactive substance use profile of the TRNC youth; studies that include young people with a wider age range and who are not continuing their education, should be performed.</w:t>
      </w:r>
    </w:p>
    <w:p w:rsidR="009B14B2" w:rsidRPr="003374C2" w:rsidRDefault="009B14B2" w:rsidP="009B14B2">
      <w:pPr>
        <w:rPr>
          <w:sz w:val="16"/>
          <w:szCs w:val="16"/>
          <w:lang w:val="en-US"/>
        </w:rPr>
      </w:pPr>
    </w:p>
    <w:p w:rsidR="009B14B2" w:rsidRDefault="009B14B2" w:rsidP="009B14B2">
      <w:pPr>
        <w:pStyle w:val="Els-1storder-head"/>
        <w:numPr>
          <w:ilvl w:val="0"/>
          <w:numId w:val="0"/>
        </w:numPr>
        <w:rPr>
          <w:rFonts w:ascii="Arial-Black" w:hAnsi="Arial-Black" w:cs="Arial-Black"/>
          <w:lang w:val="tr-TR" w:eastAsia="tr-TR"/>
        </w:rPr>
      </w:pPr>
      <w:r>
        <w:rPr>
          <w:rFonts w:ascii="Arial-Black" w:hAnsi="Arial-Black" w:cs="Arial-Black"/>
          <w:lang w:val="tr-TR" w:eastAsia="tr-TR"/>
        </w:rPr>
        <w:t>References</w:t>
      </w:r>
    </w:p>
    <w:p w:rsidR="005764E3" w:rsidRPr="005764E3" w:rsidRDefault="005764E3" w:rsidP="005764E3">
      <w:pPr>
        <w:pStyle w:val="Els-reference"/>
        <w:jc w:val="both"/>
        <w:rPr>
          <w:sz w:val="20"/>
        </w:rPr>
      </w:pPr>
      <w:r w:rsidRPr="005764E3">
        <w:rPr>
          <w:sz w:val="20"/>
        </w:rPr>
        <w:t xml:space="preserve">Botvin, G. (1995). </w:t>
      </w:r>
      <w:r w:rsidRPr="005764E3">
        <w:rPr>
          <w:i/>
          <w:sz w:val="20"/>
        </w:rPr>
        <w:t>Principles Of Prevention</w:t>
      </w:r>
      <w:r w:rsidRPr="005764E3">
        <w:rPr>
          <w:sz w:val="20"/>
        </w:rPr>
        <w:t>. RH Coombs, D Ziedonis (Eds), Handbook On Drug</w:t>
      </w:r>
      <w:r>
        <w:rPr>
          <w:sz w:val="20"/>
        </w:rPr>
        <w:t xml:space="preserve"> </w:t>
      </w:r>
      <w:r w:rsidRPr="005764E3">
        <w:rPr>
          <w:sz w:val="20"/>
        </w:rPr>
        <w:t>Abuse</w:t>
      </w:r>
      <w:r>
        <w:rPr>
          <w:sz w:val="20"/>
        </w:rPr>
        <w:t xml:space="preserve"> </w:t>
      </w:r>
      <w:r w:rsidRPr="005764E3">
        <w:rPr>
          <w:sz w:val="20"/>
        </w:rPr>
        <w:t>Prevention, Allyn&amp; Bacon, Boston, p.19-43.</w:t>
      </w:r>
    </w:p>
    <w:p w:rsidR="005764E3" w:rsidRPr="005764E3" w:rsidRDefault="005764E3" w:rsidP="005764E3">
      <w:pPr>
        <w:pStyle w:val="Els-reference"/>
        <w:jc w:val="both"/>
        <w:rPr>
          <w:sz w:val="20"/>
        </w:rPr>
      </w:pPr>
      <w:r w:rsidRPr="005764E3">
        <w:rPr>
          <w:sz w:val="20"/>
        </w:rPr>
        <w:t xml:space="preserve">Booth, M. (1996). </w:t>
      </w:r>
      <w:r w:rsidRPr="005764E3">
        <w:rPr>
          <w:i/>
          <w:sz w:val="20"/>
        </w:rPr>
        <w:t>Haşhaştan Eroine: Uyuşturucunun 6000 yıllık Öyküsü</w:t>
      </w:r>
      <w:r w:rsidRPr="005764E3">
        <w:rPr>
          <w:sz w:val="20"/>
        </w:rPr>
        <w:t>. Arıkan Ö</w:t>
      </w:r>
      <w:r>
        <w:rPr>
          <w:sz w:val="20"/>
        </w:rPr>
        <w:t xml:space="preserve">. </w:t>
      </w:r>
      <w:r w:rsidRPr="005764E3">
        <w:rPr>
          <w:sz w:val="20"/>
        </w:rPr>
        <w:t xml:space="preserve">(Çeviren). </w:t>
      </w:r>
      <w:r>
        <w:rPr>
          <w:sz w:val="20"/>
        </w:rPr>
        <w:t xml:space="preserve"> </w:t>
      </w:r>
      <w:r w:rsidRPr="005764E3">
        <w:rPr>
          <w:sz w:val="20"/>
        </w:rPr>
        <w:t>Sabah Kitapçılık ve San. Ve Tic. A. Ş. İstanbul.</w:t>
      </w:r>
    </w:p>
    <w:p w:rsidR="005764E3" w:rsidRPr="005764E3" w:rsidRDefault="005764E3" w:rsidP="005764E3">
      <w:pPr>
        <w:pStyle w:val="Els-reference"/>
        <w:jc w:val="both"/>
        <w:rPr>
          <w:sz w:val="20"/>
        </w:rPr>
      </w:pPr>
      <w:r w:rsidRPr="005764E3">
        <w:rPr>
          <w:sz w:val="20"/>
        </w:rPr>
        <w:t>Canadian</w:t>
      </w:r>
      <w:r>
        <w:rPr>
          <w:sz w:val="20"/>
        </w:rPr>
        <w:t xml:space="preserve"> </w:t>
      </w:r>
      <w:r w:rsidRPr="005764E3">
        <w:rPr>
          <w:sz w:val="20"/>
        </w:rPr>
        <w:t>Centre on Substance</w:t>
      </w:r>
      <w:r>
        <w:rPr>
          <w:sz w:val="20"/>
        </w:rPr>
        <w:t xml:space="preserve"> </w:t>
      </w:r>
      <w:r w:rsidRPr="005764E3">
        <w:rPr>
          <w:sz w:val="20"/>
        </w:rPr>
        <w:t xml:space="preserve">Abuse. </w:t>
      </w:r>
      <w:r w:rsidRPr="005764E3">
        <w:rPr>
          <w:i/>
          <w:sz w:val="20"/>
        </w:rPr>
        <w:t>Substance</w:t>
      </w:r>
      <w:r>
        <w:rPr>
          <w:i/>
          <w:sz w:val="20"/>
        </w:rPr>
        <w:t xml:space="preserve"> </w:t>
      </w:r>
      <w:r w:rsidRPr="005764E3">
        <w:rPr>
          <w:i/>
          <w:sz w:val="20"/>
        </w:rPr>
        <w:t>abuse in Canada: youth in focus</w:t>
      </w:r>
      <w:r w:rsidRPr="005764E3">
        <w:rPr>
          <w:sz w:val="20"/>
        </w:rPr>
        <w:t>. Ottawa: The Centre; 2007.</w:t>
      </w:r>
    </w:p>
    <w:p w:rsidR="005764E3" w:rsidRPr="005764E3" w:rsidRDefault="005764E3" w:rsidP="005764E3">
      <w:pPr>
        <w:pStyle w:val="Els-reference"/>
        <w:jc w:val="both"/>
        <w:rPr>
          <w:sz w:val="20"/>
        </w:rPr>
      </w:pPr>
      <w:r w:rsidRPr="005764E3">
        <w:rPr>
          <w:sz w:val="20"/>
        </w:rPr>
        <w:t xml:space="preserve">Connolly, G. M., Casswell, S., Zhang, J. F., Silva, P. A.  (1994). Alcohol in the mass media and drinking by adolescents: a longitudinal study. </w:t>
      </w:r>
      <w:r w:rsidRPr="005764E3">
        <w:rPr>
          <w:i/>
          <w:sz w:val="20"/>
        </w:rPr>
        <w:t>Addiction, 89(10),</w:t>
      </w:r>
      <w:r w:rsidRPr="005764E3">
        <w:rPr>
          <w:sz w:val="20"/>
        </w:rPr>
        <w:t xml:space="preserve"> 1255-1263.</w:t>
      </w:r>
    </w:p>
    <w:p w:rsidR="005764E3" w:rsidRPr="005764E3" w:rsidRDefault="005764E3" w:rsidP="005764E3">
      <w:pPr>
        <w:pStyle w:val="Els-reference"/>
        <w:jc w:val="both"/>
        <w:rPr>
          <w:sz w:val="20"/>
        </w:rPr>
      </w:pPr>
      <w:r w:rsidRPr="005764E3">
        <w:rPr>
          <w:sz w:val="20"/>
        </w:rPr>
        <w:t xml:space="preserve">Coşar, B. (1996). Alkol Bağımlılığında psikososyal faktörler. </w:t>
      </w:r>
      <w:r w:rsidRPr="005764E3">
        <w:rPr>
          <w:i/>
          <w:sz w:val="20"/>
        </w:rPr>
        <w:t>Psikiyatri Psikofarmakoloji Psikoloji Dergisi, 4(2),</w:t>
      </w:r>
      <w:r w:rsidRPr="005764E3">
        <w:rPr>
          <w:sz w:val="20"/>
        </w:rPr>
        <w:t xml:space="preserve"> 13-18.</w:t>
      </w:r>
    </w:p>
    <w:p w:rsidR="005764E3" w:rsidRPr="005764E3" w:rsidRDefault="005764E3" w:rsidP="005764E3">
      <w:pPr>
        <w:pStyle w:val="Els-reference"/>
        <w:jc w:val="both"/>
        <w:rPr>
          <w:sz w:val="20"/>
        </w:rPr>
      </w:pPr>
      <w:r w:rsidRPr="005764E3">
        <w:rPr>
          <w:sz w:val="20"/>
        </w:rPr>
        <w:t xml:space="preserve">Çakıcı, M. (1999). Madde kullanıcılarının özellikleri: Türkiye’de çok merkezli bir araştırma (Birinci Aşama). </w:t>
      </w:r>
      <w:r w:rsidRPr="005764E3">
        <w:rPr>
          <w:i/>
          <w:sz w:val="20"/>
        </w:rPr>
        <w:t>3P Dergisi</w:t>
      </w:r>
      <w:r w:rsidRPr="005764E3">
        <w:rPr>
          <w:sz w:val="20"/>
        </w:rPr>
        <w:t xml:space="preserve">, </w:t>
      </w:r>
      <w:r w:rsidRPr="005764E3">
        <w:rPr>
          <w:i/>
          <w:sz w:val="20"/>
        </w:rPr>
        <w:t>7 (Ek.1),</w:t>
      </w:r>
      <w:r w:rsidRPr="005764E3">
        <w:rPr>
          <w:sz w:val="20"/>
        </w:rPr>
        <w:t xml:space="preserve"> 34-36.</w:t>
      </w:r>
    </w:p>
    <w:p w:rsidR="005764E3" w:rsidRPr="005764E3" w:rsidRDefault="005764E3" w:rsidP="005764E3">
      <w:pPr>
        <w:pStyle w:val="Els-reference"/>
        <w:jc w:val="both"/>
        <w:rPr>
          <w:sz w:val="20"/>
        </w:rPr>
      </w:pPr>
      <w:r w:rsidRPr="005764E3">
        <w:rPr>
          <w:sz w:val="20"/>
        </w:rPr>
        <w:t>Çakıcı, M., Çakıcı, E. (2000a).</w:t>
      </w:r>
      <w:r>
        <w:rPr>
          <w:sz w:val="20"/>
        </w:rPr>
        <w:t xml:space="preserve"> </w:t>
      </w:r>
      <w:r w:rsidRPr="005764E3">
        <w:rPr>
          <w:i/>
          <w:sz w:val="20"/>
        </w:rPr>
        <w:t xml:space="preserve">K.K.T.C. Lise Gençliğinde Uyuşturucu Madde Kullanımının Yaygınlığı 1996. </w:t>
      </w:r>
      <w:r w:rsidRPr="005764E3">
        <w:rPr>
          <w:sz w:val="20"/>
        </w:rPr>
        <w:t>Lefkoşa, KKTC Başbakanlık Devlet Basımevi.</w:t>
      </w:r>
    </w:p>
    <w:p w:rsidR="005764E3" w:rsidRPr="005764E3" w:rsidRDefault="005764E3" w:rsidP="005764E3">
      <w:pPr>
        <w:pStyle w:val="Els-reference"/>
        <w:jc w:val="both"/>
        <w:rPr>
          <w:sz w:val="20"/>
        </w:rPr>
      </w:pPr>
      <w:r w:rsidRPr="005764E3">
        <w:rPr>
          <w:sz w:val="20"/>
        </w:rPr>
        <w:t xml:space="preserve">Çakıcı, M., Çakıcı, E. (2000b). </w:t>
      </w:r>
      <w:r w:rsidRPr="005764E3">
        <w:rPr>
          <w:i/>
          <w:sz w:val="20"/>
        </w:rPr>
        <w:t xml:space="preserve">K.K.T.C.Lise Gençliğinde Uyuşturucu Madde Kullanımının Yaygınlığı 1999. </w:t>
      </w:r>
      <w:r w:rsidRPr="005764E3">
        <w:rPr>
          <w:sz w:val="20"/>
        </w:rPr>
        <w:t>Lefkoşa, KKTC Başbakanlık Devlet Basımevi.</w:t>
      </w:r>
    </w:p>
    <w:p w:rsidR="005764E3" w:rsidRPr="005764E3" w:rsidRDefault="005764E3" w:rsidP="005764E3">
      <w:pPr>
        <w:pStyle w:val="Els-reference"/>
        <w:jc w:val="both"/>
        <w:rPr>
          <w:sz w:val="20"/>
        </w:rPr>
      </w:pPr>
      <w:r w:rsidRPr="005764E3">
        <w:rPr>
          <w:sz w:val="20"/>
        </w:rPr>
        <w:t xml:space="preserve">Çakıcı, M. (2000). </w:t>
      </w:r>
      <w:r w:rsidRPr="005764E3">
        <w:rPr>
          <w:i/>
          <w:sz w:val="20"/>
        </w:rPr>
        <w:t>KKTC Araştırmaları ile Uyuşturucu Madde Kullanımı</w:t>
      </w:r>
      <w:r w:rsidRPr="005764E3">
        <w:rPr>
          <w:sz w:val="20"/>
        </w:rPr>
        <w:t>. Lefkoşa: KKTC Devlet Basımevi.</w:t>
      </w:r>
    </w:p>
    <w:p w:rsidR="005764E3" w:rsidRPr="005764E3" w:rsidRDefault="005764E3" w:rsidP="005764E3">
      <w:pPr>
        <w:pStyle w:val="Els-reference"/>
        <w:jc w:val="both"/>
        <w:rPr>
          <w:bCs/>
          <w:sz w:val="20"/>
        </w:rPr>
      </w:pPr>
      <w:r w:rsidRPr="005764E3">
        <w:rPr>
          <w:bCs/>
          <w:sz w:val="20"/>
        </w:rPr>
        <w:t xml:space="preserve">Çakıcı, M., Çakıcı, E., Tamar, D., Ögel K, Özkürkçügil, A. (2000). KKTC madde kullanıcılarının özellikleri ve Türkiye’deki kullanıcılar ile karşılaştırılması. </w:t>
      </w:r>
      <w:r w:rsidRPr="005764E3">
        <w:rPr>
          <w:bCs/>
          <w:i/>
          <w:sz w:val="20"/>
        </w:rPr>
        <w:t>Kıbrıs Türk Tıp Dergisi</w:t>
      </w:r>
      <w:r w:rsidRPr="005764E3">
        <w:rPr>
          <w:bCs/>
          <w:sz w:val="20"/>
        </w:rPr>
        <w:t>, 1(1): 7-13.</w:t>
      </w:r>
    </w:p>
    <w:p w:rsidR="005764E3" w:rsidRPr="005764E3" w:rsidRDefault="005764E3" w:rsidP="005764E3">
      <w:pPr>
        <w:pStyle w:val="Els-reference"/>
        <w:jc w:val="both"/>
        <w:rPr>
          <w:sz w:val="20"/>
          <w:lang w:val="tr-TR"/>
        </w:rPr>
      </w:pPr>
      <w:r w:rsidRPr="005764E3">
        <w:rPr>
          <w:sz w:val="20"/>
          <w:lang w:val="tr-TR"/>
        </w:rPr>
        <w:t xml:space="preserve">Çakıcı, M., Çakıcı, E., Subaşı, B. (2001). </w:t>
      </w:r>
      <w:r w:rsidRPr="005764E3">
        <w:rPr>
          <w:i/>
          <w:sz w:val="20"/>
          <w:lang w:val="tr-TR"/>
        </w:rPr>
        <w:t>KKTC Ortaokul Öğrencileri Arasında Madde  Kullanım Yagınlığı.</w:t>
      </w:r>
      <w:r w:rsidRPr="005764E3">
        <w:rPr>
          <w:sz w:val="20"/>
          <w:lang w:val="tr-TR"/>
        </w:rPr>
        <w:t xml:space="preserve"> 8. Ulusal Sosyal Psikiyatri Kongresi Bilimsel Çalışmaları (28-31  Mayıs 2001, Lefkoşa), 176-182, Lefkoşa</w:t>
      </w:r>
    </w:p>
    <w:p w:rsidR="005764E3" w:rsidRPr="005764E3" w:rsidRDefault="005764E3" w:rsidP="005764E3">
      <w:pPr>
        <w:pStyle w:val="Els-reference"/>
        <w:jc w:val="both"/>
        <w:rPr>
          <w:sz w:val="20"/>
        </w:rPr>
      </w:pPr>
      <w:r w:rsidRPr="005764E3">
        <w:rPr>
          <w:sz w:val="20"/>
        </w:rPr>
        <w:lastRenderedPageBreak/>
        <w:t xml:space="preserve">Çakıcı, M., Çakıcı, E., Bekiroğulları, Z., Aksoy, A., Tatlısu, Ö. (2003). </w:t>
      </w:r>
      <w:r w:rsidRPr="005764E3">
        <w:rPr>
          <w:i/>
          <w:sz w:val="20"/>
        </w:rPr>
        <w:t>Kuzey Kıbrıs’ta Madde Kullanımının Yaygınlığı</w:t>
      </w:r>
      <w:r w:rsidRPr="005764E3">
        <w:rPr>
          <w:sz w:val="20"/>
        </w:rPr>
        <w:t xml:space="preserve">. Lefkoşa, Kıbrıs Türk Ruh Sağlığı Derneği Yayınları. </w:t>
      </w:r>
    </w:p>
    <w:p w:rsidR="005764E3" w:rsidRPr="005764E3" w:rsidRDefault="005764E3" w:rsidP="005764E3">
      <w:pPr>
        <w:pStyle w:val="Els-reference"/>
        <w:jc w:val="both"/>
        <w:rPr>
          <w:sz w:val="20"/>
        </w:rPr>
      </w:pPr>
      <w:r w:rsidRPr="005764E3">
        <w:rPr>
          <w:sz w:val="20"/>
        </w:rPr>
        <w:t xml:space="preserve">Çakıcı, M., Karaokçu, H., Çamlıköylü, F. (2006). </w:t>
      </w:r>
      <w:r w:rsidRPr="005764E3">
        <w:rPr>
          <w:i/>
          <w:sz w:val="20"/>
        </w:rPr>
        <w:t xml:space="preserve">KKTC’de Uyuşturucu Madde Kullanımı Raporu. </w:t>
      </w:r>
      <w:r w:rsidRPr="005764E3">
        <w:rPr>
          <w:sz w:val="20"/>
        </w:rPr>
        <w:t>Uyuşturucu ile Mücadele ve Önleme Komisyonu (UMÖK). KKTC Başbakanlık Devlet Basımevi, Lefkoşa.</w:t>
      </w:r>
    </w:p>
    <w:p w:rsidR="005764E3" w:rsidRPr="005764E3" w:rsidRDefault="005764E3" w:rsidP="005764E3">
      <w:pPr>
        <w:pStyle w:val="Els-reference"/>
        <w:jc w:val="both"/>
        <w:rPr>
          <w:sz w:val="20"/>
        </w:rPr>
      </w:pPr>
      <w:r w:rsidRPr="005764E3">
        <w:rPr>
          <w:sz w:val="20"/>
        </w:rPr>
        <w:t xml:space="preserve">Çakıcı, M., Çakıcı, E., Eş, A. (2010). Kuzey Kıbrıs Türk Cumhuriyeti Lise Öğrencilerinde Psikoaktif Maddeleri Kullanma Yaygınlığı. </w:t>
      </w:r>
      <w:r w:rsidRPr="005764E3">
        <w:rPr>
          <w:i/>
          <w:sz w:val="20"/>
        </w:rPr>
        <w:t>AnatolianJournal of Psychiatry</w:t>
      </w:r>
      <w:r w:rsidRPr="005764E3">
        <w:rPr>
          <w:sz w:val="20"/>
        </w:rPr>
        <w:t>, 11, 206-212.</w:t>
      </w:r>
    </w:p>
    <w:p w:rsidR="005764E3" w:rsidRPr="005764E3" w:rsidRDefault="005764E3" w:rsidP="005764E3">
      <w:pPr>
        <w:pStyle w:val="Els-reference"/>
        <w:jc w:val="both"/>
        <w:rPr>
          <w:sz w:val="20"/>
        </w:rPr>
      </w:pPr>
      <w:r w:rsidRPr="005764E3">
        <w:rPr>
          <w:sz w:val="20"/>
        </w:rPr>
        <w:t xml:space="preserve"> Çakıcı M, Çakıcı E, Ergün, D., Onur, Ç. (2015). </w:t>
      </w:r>
      <w:r w:rsidRPr="005764E3">
        <w:rPr>
          <w:i/>
          <w:sz w:val="20"/>
        </w:rPr>
        <w:t>Kuzey Kıbrıs Türk Cumhuriyeti’nde Lise Öğrencileri Arasında Psikoaktif Madde Kullanımının Yaygınlığı Raporu, 2015</w:t>
      </w:r>
      <w:r w:rsidRPr="005764E3">
        <w:rPr>
          <w:sz w:val="20"/>
        </w:rPr>
        <w:t xml:space="preserve">. Yayımlanmamış Rapor. </w:t>
      </w:r>
    </w:p>
    <w:p w:rsidR="005764E3" w:rsidRPr="005764E3" w:rsidRDefault="005764E3" w:rsidP="005764E3">
      <w:pPr>
        <w:pStyle w:val="Els-reference"/>
        <w:jc w:val="both"/>
        <w:rPr>
          <w:rFonts w:eastAsia="Calibri"/>
          <w:sz w:val="20"/>
        </w:rPr>
      </w:pPr>
      <w:r w:rsidRPr="005764E3">
        <w:rPr>
          <w:rFonts w:eastAsia="Calibri"/>
          <w:sz w:val="20"/>
        </w:rPr>
        <w:t xml:space="preserve">Çakıcı, M., Çakıcı, E., Karaaziz M, Subaşı B, Bayramoğlu R, Taşçıoğlu G. (2015). </w:t>
      </w:r>
      <w:r w:rsidRPr="005764E3">
        <w:rPr>
          <w:rFonts w:eastAsia="Calibri"/>
          <w:i/>
          <w:sz w:val="20"/>
        </w:rPr>
        <w:t>Kuzey Kıbrıs Türk Cumhuriyeti’nde Psikoaktif Madde Kullanımının Yaygınlığı Raporu, 2015.</w:t>
      </w:r>
      <w:r w:rsidRPr="005764E3">
        <w:rPr>
          <w:rFonts w:eastAsia="Calibri"/>
          <w:sz w:val="20"/>
        </w:rPr>
        <w:t xml:space="preserve"> KKTC Başbakanlık Uyuşturucu ile Mücadele Komisyonu, Lefkoşa Psikiyatri Merkezi (LEPİM). KKTC Başbakanlık Devlet Basımevi: Lefkoşa.</w:t>
      </w:r>
    </w:p>
    <w:p w:rsidR="005764E3" w:rsidRPr="005764E3" w:rsidRDefault="005764E3" w:rsidP="005764E3">
      <w:pPr>
        <w:pStyle w:val="Els-reference"/>
        <w:jc w:val="both"/>
        <w:rPr>
          <w:sz w:val="20"/>
        </w:rPr>
      </w:pPr>
      <w:r w:rsidRPr="005764E3">
        <w:rPr>
          <w:sz w:val="20"/>
        </w:rPr>
        <w:t xml:space="preserve">Çakıcı, M., Çakıcı, E.,Keskindağ, B., Karaaziz, M. (2015). </w:t>
      </w:r>
      <w:r w:rsidRPr="005764E3">
        <w:rPr>
          <w:i/>
          <w:sz w:val="20"/>
        </w:rPr>
        <w:t>Kuzey Kıbrıs Türk Cumhuriyeti’nde Psikoaktif Maddelerin Kullanım Yaygınlıkları ve Risk Etkenleri Raporu, 2015.</w:t>
      </w:r>
      <w:r w:rsidRPr="005764E3">
        <w:rPr>
          <w:sz w:val="20"/>
        </w:rPr>
        <w:t xml:space="preserve"> Yayımlanmamış Rapor.</w:t>
      </w:r>
    </w:p>
    <w:p w:rsidR="005764E3" w:rsidRPr="005764E3" w:rsidRDefault="005764E3" w:rsidP="005764E3">
      <w:pPr>
        <w:pStyle w:val="Els-reference"/>
        <w:jc w:val="both"/>
        <w:rPr>
          <w:sz w:val="20"/>
        </w:rPr>
      </w:pPr>
      <w:r w:rsidRPr="005764E3">
        <w:rPr>
          <w:sz w:val="20"/>
        </w:rPr>
        <w:t xml:space="preserve">Doğu Akdeniz Üniversitesi- Psikolojik Danışmanlık ve Araştırma Merkezi (2015). Kuzey Kıbrıs’ta Uyuşturucu Madde Çalışmaları Raporu. </w:t>
      </w:r>
      <w:r>
        <w:rPr>
          <w:sz w:val="20"/>
        </w:rPr>
        <w:t>Retrieved from:</w:t>
      </w:r>
      <w:r w:rsidRPr="005764E3">
        <w:rPr>
          <w:sz w:val="20"/>
        </w:rPr>
        <w:t xml:space="preserve"> </w:t>
      </w:r>
      <w:hyperlink r:id="rId5" w:history="1">
        <w:r w:rsidRPr="005764E3">
          <w:rPr>
            <w:rStyle w:val="Kpr"/>
            <w:sz w:val="20"/>
          </w:rPr>
          <w:t>http://pdram.emu.edu.tr/wp-content/uploads/2012/11/Rapor.pdf</w:t>
        </w:r>
      </w:hyperlink>
      <w:r w:rsidRPr="005764E3">
        <w:rPr>
          <w:sz w:val="20"/>
        </w:rPr>
        <w:t xml:space="preserve"> </w:t>
      </w:r>
      <w:r>
        <w:rPr>
          <w:sz w:val="20"/>
        </w:rPr>
        <w:t xml:space="preserve"> (20.05.2015)</w:t>
      </w:r>
    </w:p>
    <w:p w:rsidR="005764E3" w:rsidRPr="005764E3" w:rsidRDefault="005764E3" w:rsidP="005764E3">
      <w:pPr>
        <w:pStyle w:val="Els-reference"/>
        <w:jc w:val="both"/>
        <w:rPr>
          <w:bCs/>
          <w:sz w:val="20"/>
        </w:rPr>
      </w:pPr>
      <w:r w:rsidRPr="005764E3">
        <w:rPr>
          <w:bCs/>
          <w:sz w:val="20"/>
        </w:rPr>
        <w:t>Durand, V., Hennessey, J., Wells, D. S., Crothers, L. M., Kolbert, J. B.,Lipinski, J. and Hughes, T. L. (2013).</w:t>
      </w:r>
      <w:r w:rsidRPr="005764E3">
        <w:rPr>
          <w:b/>
          <w:bCs/>
          <w:sz w:val="20"/>
        </w:rPr>
        <w:t xml:space="preserve"> </w:t>
      </w:r>
      <w:r w:rsidRPr="005764E3">
        <w:rPr>
          <w:rFonts w:eastAsia="AdobeFangsongStd-Regular"/>
          <w:sz w:val="20"/>
        </w:rPr>
        <w:t xml:space="preserve">Bullying and Substance Use in Children and Adolescents. </w:t>
      </w:r>
      <w:r w:rsidRPr="005764E3">
        <w:rPr>
          <w:rFonts w:eastAsia="AdobeFangsongStd-Regular"/>
          <w:i/>
          <w:sz w:val="20"/>
        </w:rPr>
        <w:t>A</w:t>
      </w:r>
      <w:r w:rsidRPr="005764E3">
        <w:rPr>
          <w:bCs/>
          <w:i/>
          <w:sz w:val="20"/>
        </w:rPr>
        <w:t>ddiction Research &amp; Therapy</w:t>
      </w:r>
      <w:r w:rsidRPr="005764E3">
        <w:rPr>
          <w:bCs/>
          <w:sz w:val="20"/>
        </w:rPr>
        <w:t>, 4, 2-6.</w:t>
      </w:r>
    </w:p>
    <w:p w:rsidR="005764E3" w:rsidRPr="005764E3" w:rsidRDefault="005764E3" w:rsidP="005764E3">
      <w:pPr>
        <w:pStyle w:val="Els-reference"/>
        <w:jc w:val="both"/>
        <w:rPr>
          <w:sz w:val="20"/>
        </w:rPr>
      </w:pPr>
      <w:r w:rsidRPr="005764E3">
        <w:rPr>
          <w:sz w:val="20"/>
        </w:rPr>
        <w:t>Eş, A. (2015). Lise Öğrencilerinde Sigara, Alkol ve Psikoaktif Madde Kullanımı ile Stresle Baş etme Yöntem ve Kontrol Odağı İlişkisi. Yayınlanmamış doktora tezi. Yakın Doğu Üniversitesi, Lefkoşa.</w:t>
      </w:r>
    </w:p>
    <w:p w:rsidR="005764E3" w:rsidRPr="005764E3" w:rsidRDefault="005764E3" w:rsidP="005764E3">
      <w:pPr>
        <w:pStyle w:val="Els-reference"/>
        <w:jc w:val="both"/>
        <w:rPr>
          <w:sz w:val="20"/>
        </w:rPr>
      </w:pPr>
      <w:r w:rsidRPr="005764E3">
        <w:rPr>
          <w:sz w:val="20"/>
        </w:rPr>
        <w:t xml:space="preserve">Hibell B., Anderson B., Bjarnason T., Kokkevi A., Morgan M., Narusk A.  </w:t>
      </w:r>
      <w:r w:rsidRPr="005764E3">
        <w:rPr>
          <w:i/>
          <w:sz w:val="20"/>
        </w:rPr>
        <w:t xml:space="preserve">The 1995 ESPAD (European School Survey Project on Alcohol and Others Drugs) Report: </w:t>
      </w:r>
      <w:r w:rsidRPr="005764E3">
        <w:rPr>
          <w:i/>
          <w:iCs/>
          <w:sz w:val="20"/>
        </w:rPr>
        <w:t>Alcohol and Other Drugs Use Among Students in 26 European Countries</w:t>
      </w:r>
      <w:r w:rsidRPr="005764E3">
        <w:rPr>
          <w:i/>
          <w:sz w:val="20"/>
        </w:rPr>
        <w:t>.</w:t>
      </w:r>
      <w:r w:rsidRPr="005764E3">
        <w:rPr>
          <w:sz w:val="20"/>
        </w:rPr>
        <w:t>The Swedish Council for Information on Alcohol and Other Drugs (CAN), Council of Europe, Co-operation Group to Combat Drug Abuse and Illicit Trafficking in Drugs (Pompidou Group), Modin Tryck AB, Stockholm September 1997.</w:t>
      </w:r>
    </w:p>
    <w:p w:rsidR="005764E3" w:rsidRPr="005764E3" w:rsidRDefault="005764E3" w:rsidP="005764E3">
      <w:pPr>
        <w:pStyle w:val="Els-reference"/>
        <w:jc w:val="both"/>
        <w:rPr>
          <w:sz w:val="20"/>
        </w:rPr>
      </w:pPr>
      <w:r w:rsidRPr="005764E3">
        <w:rPr>
          <w:sz w:val="20"/>
        </w:rPr>
        <w:t xml:space="preserve">Hibell B., Andersson B., Ahlström S., Balakireva O., Bjarnason T., KokkeviA., Morgan M.  </w:t>
      </w:r>
      <w:r w:rsidRPr="005764E3">
        <w:rPr>
          <w:i/>
          <w:sz w:val="20"/>
        </w:rPr>
        <w:t xml:space="preserve">The 1999 ESPAD (European School Survey Project on Alcohol and Others Drugs) Report: </w:t>
      </w:r>
      <w:r w:rsidRPr="005764E3">
        <w:rPr>
          <w:i/>
          <w:iCs/>
          <w:sz w:val="20"/>
        </w:rPr>
        <w:t>Alcohol and Other Drugs Use Among Students in 30 European Countries</w:t>
      </w:r>
      <w:r w:rsidRPr="005764E3">
        <w:rPr>
          <w:i/>
          <w:sz w:val="20"/>
        </w:rPr>
        <w:t xml:space="preserve">. </w:t>
      </w:r>
      <w:r w:rsidRPr="005764E3">
        <w:rPr>
          <w:sz w:val="20"/>
        </w:rPr>
        <w:t>The Swedish Council for Information on Alcohol and Other Drugs (CAN), Council of Europe, Co-operation Group to Combat Drug Abuse and Illicit Trafficking in Drugs (Pompidou Group); Modin Tryck AB, Stockholm December 2000.</w:t>
      </w:r>
    </w:p>
    <w:p w:rsidR="005764E3" w:rsidRPr="005764E3" w:rsidRDefault="005764E3" w:rsidP="005764E3">
      <w:pPr>
        <w:pStyle w:val="Els-reference"/>
        <w:jc w:val="both"/>
        <w:rPr>
          <w:sz w:val="20"/>
        </w:rPr>
      </w:pPr>
      <w:r w:rsidRPr="005764E3">
        <w:rPr>
          <w:sz w:val="20"/>
        </w:rPr>
        <w:t xml:space="preserve">Hibell B., Guttormsson U., Ahlstöm S., Balakireva O., Bjarnason T., Kokkevi A., Kraus L. </w:t>
      </w:r>
      <w:r w:rsidRPr="005764E3">
        <w:rPr>
          <w:i/>
          <w:sz w:val="20"/>
        </w:rPr>
        <w:t xml:space="preserve">The 2011 ESPAD (European School Survey Project on Alcohol and Others Drugs) Reports: Substance Use Among Students in 36 European Countries. </w:t>
      </w:r>
      <w:r w:rsidRPr="005764E3">
        <w:rPr>
          <w:sz w:val="20"/>
        </w:rPr>
        <w:t>The Swedish Council for Information on AlcoholandOtherDrugs (CAN), The European Monitoring Centre for Drugs and Drug Addiction (EMCDDA), Council of Europe, Co-operation Group to Combat Drug Abuse and Illicit Trafficking in Drugs (Pompidou Group); ModinTryck AB, Stockholm May 2012.</w:t>
      </w:r>
    </w:p>
    <w:p w:rsidR="005764E3" w:rsidRPr="005764E3" w:rsidRDefault="005764E3" w:rsidP="005764E3">
      <w:pPr>
        <w:pStyle w:val="Els-reference"/>
        <w:jc w:val="both"/>
        <w:rPr>
          <w:sz w:val="20"/>
        </w:rPr>
      </w:pPr>
      <w:r w:rsidRPr="005764E3">
        <w:rPr>
          <w:sz w:val="20"/>
        </w:rPr>
        <w:t xml:space="preserve">Johnston L. D., O’Malley P. M., Bachman J. G. (2000). </w:t>
      </w:r>
      <w:r w:rsidRPr="005764E3">
        <w:rPr>
          <w:i/>
          <w:sz w:val="20"/>
        </w:rPr>
        <w:t xml:space="preserve">Monitoring the future: National survey resuts on drug use 1975-1999. </w:t>
      </w:r>
      <w:r w:rsidRPr="005764E3">
        <w:rPr>
          <w:sz w:val="20"/>
        </w:rPr>
        <w:t xml:space="preserve">National Institute on Drug Abuse. NIH  Publication No:00-4803. </w:t>
      </w:r>
    </w:p>
    <w:p w:rsidR="005764E3" w:rsidRPr="005764E3" w:rsidRDefault="005764E3" w:rsidP="005764E3">
      <w:pPr>
        <w:pStyle w:val="Els-reference"/>
        <w:jc w:val="both"/>
        <w:rPr>
          <w:sz w:val="20"/>
        </w:rPr>
      </w:pPr>
      <w:r w:rsidRPr="005764E3">
        <w:rPr>
          <w:sz w:val="20"/>
        </w:rPr>
        <w:t xml:space="preserve">Karaokçu, H. (2000). </w:t>
      </w:r>
      <w:r w:rsidRPr="005764E3">
        <w:rPr>
          <w:i/>
          <w:sz w:val="20"/>
        </w:rPr>
        <w:t>Kuzey Kıbrıs’ta Uyuşturucunun Ölüm Büyüsü</w:t>
      </w:r>
      <w:r w:rsidRPr="005764E3">
        <w:rPr>
          <w:sz w:val="20"/>
        </w:rPr>
        <w:t xml:space="preserve">. Lefkoşa, Işık Kitabevi Yayınları. </w:t>
      </w:r>
    </w:p>
    <w:p w:rsidR="005764E3" w:rsidRPr="005764E3" w:rsidRDefault="005764E3" w:rsidP="005764E3">
      <w:pPr>
        <w:pStyle w:val="Els-reference"/>
        <w:jc w:val="both"/>
        <w:rPr>
          <w:sz w:val="20"/>
        </w:rPr>
      </w:pPr>
      <w:r w:rsidRPr="005764E3">
        <w:rPr>
          <w:sz w:val="20"/>
        </w:rPr>
        <w:t xml:space="preserve">Murphey, D. Barry, M., Vaughm, B., Guzman, L., Terzian, M. (2013). Adolescent Health Highlights: Use Of Illicit Drugs. </w:t>
      </w:r>
      <w:r w:rsidRPr="005764E3">
        <w:rPr>
          <w:i/>
          <w:sz w:val="20"/>
        </w:rPr>
        <w:t>Child Trends</w:t>
      </w:r>
      <w:r w:rsidRPr="005764E3">
        <w:rPr>
          <w:sz w:val="20"/>
        </w:rPr>
        <w:t>, 11.</w:t>
      </w:r>
    </w:p>
    <w:p w:rsidR="005764E3" w:rsidRPr="005764E3" w:rsidRDefault="005764E3" w:rsidP="005764E3">
      <w:pPr>
        <w:pStyle w:val="Els-reference"/>
        <w:jc w:val="both"/>
        <w:rPr>
          <w:sz w:val="20"/>
        </w:rPr>
      </w:pPr>
      <w:r w:rsidRPr="005764E3">
        <w:rPr>
          <w:sz w:val="20"/>
        </w:rPr>
        <w:t xml:space="preserve">Ögel, K., Tamer, D., Evren, C., Çakmak, D. (2001). </w:t>
      </w:r>
      <w:r w:rsidRPr="005764E3">
        <w:rPr>
          <w:i/>
          <w:sz w:val="20"/>
        </w:rPr>
        <w:t>Gençlerde madde kullanım yaygınlığı ve özelliklerinin değerlendirilmesi: 2001 araştırma sonuçları.</w:t>
      </w:r>
      <w:r w:rsidRPr="005764E3">
        <w:rPr>
          <w:sz w:val="20"/>
        </w:rPr>
        <w:t xml:space="preserve"> Yeniden Sağlık ve Eğitim Derneği, yayın no:2, İstanbul.</w:t>
      </w:r>
    </w:p>
    <w:p w:rsidR="005764E3" w:rsidRPr="005764E3" w:rsidRDefault="005764E3" w:rsidP="005764E3">
      <w:pPr>
        <w:pStyle w:val="Els-reference"/>
        <w:jc w:val="both"/>
        <w:rPr>
          <w:sz w:val="20"/>
        </w:rPr>
      </w:pPr>
      <w:r w:rsidRPr="005764E3">
        <w:rPr>
          <w:sz w:val="20"/>
        </w:rPr>
        <w:t xml:space="preserve">Ögel, K. (2002). </w:t>
      </w:r>
      <w:r w:rsidRPr="005764E3">
        <w:rPr>
          <w:i/>
          <w:sz w:val="20"/>
        </w:rPr>
        <w:t>Madde Bağımlılığını Önleme: Anne, Baba ve Öğretmenler İçin Bir Kılavuz</w:t>
      </w:r>
      <w:r w:rsidRPr="005764E3">
        <w:rPr>
          <w:sz w:val="20"/>
        </w:rPr>
        <w:t>. IQ Kültür SanatYayıncılık, İstanbul, p.114.</w:t>
      </w:r>
    </w:p>
    <w:p w:rsidR="005764E3" w:rsidRPr="005764E3" w:rsidRDefault="005764E3" w:rsidP="005764E3">
      <w:pPr>
        <w:pStyle w:val="Els-reference"/>
        <w:jc w:val="both"/>
        <w:rPr>
          <w:sz w:val="20"/>
        </w:rPr>
      </w:pPr>
      <w:r w:rsidRPr="005764E3">
        <w:rPr>
          <w:sz w:val="20"/>
        </w:rPr>
        <w:t xml:space="preserve">Ögel, K., Taner, S., Eke, C. Y., Erol, B. (2004). Madde bağımlılığını önlemede öğretmen ve ebeveyn eğitimlerinin etkinliğinin değerlendirilmesi. </w:t>
      </w:r>
      <w:r w:rsidRPr="005764E3">
        <w:rPr>
          <w:i/>
          <w:sz w:val="20"/>
        </w:rPr>
        <w:t>Anadolu Psikiyatri Dergisi</w:t>
      </w:r>
      <w:r w:rsidRPr="005764E3">
        <w:rPr>
          <w:sz w:val="20"/>
        </w:rPr>
        <w:t>, 5(4), 213-221.</w:t>
      </w:r>
    </w:p>
    <w:p w:rsidR="005764E3" w:rsidRPr="005764E3" w:rsidRDefault="005764E3" w:rsidP="005764E3">
      <w:pPr>
        <w:pStyle w:val="Els-reference"/>
        <w:jc w:val="both"/>
        <w:rPr>
          <w:sz w:val="20"/>
        </w:rPr>
      </w:pPr>
      <w:r w:rsidRPr="005764E3">
        <w:rPr>
          <w:sz w:val="20"/>
        </w:rPr>
        <w:t xml:space="preserve">Ögel, K., Taner, S., Eke, C., Erol, B. (2005). </w:t>
      </w:r>
      <w:r w:rsidRPr="005764E3">
        <w:rPr>
          <w:i/>
          <w:sz w:val="20"/>
        </w:rPr>
        <w:t>İstanbul Onuncu Sınıf Öğrencileri Arasında Tütün, Alkol ve Madde Kullanımının Yaygınlığı Raporu.</w:t>
      </w:r>
      <w:r w:rsidRPr="005764E3">
        <w:rPr>
          <w:sz w:val="20"/>
        </w:rPr>
        <w:t xml:space="preserve"> Yeniden Yayın no:15, İstanbul,.</w:t>
      </w:r>
    </w:p>
    <w:p w:rsidR="005764E3" w:rsidRPr="005764E3" w:rsidRDefault="005764E3" w:rsidP="005764E3">
      <w:pPr>
        <w:pStyle w:val="Els-reference"/>
        <w:jc w:val="both"/>
        <w:rPr>
          <w:sz w:val="20"/>
        </w:rPr>
      </w:pPr>
      <w:r w:rsidRPr="005764E3">
        <w:rPr>
          <w:sz w:val="20"/>
        </w:rPr>
        <w:t xml:space="preserve">Pandina, R., Hendren, R. (1999). </w:t>
      </w:r>
      <w:r w:rsidRPr="005764E3">
        <w:rPr>
          <w:i/>
          <w:sz w:val="20"/>
        </w:rPr>
        <w:t>Other drugs of abuse: inhalants, designer drugs, and steroids. Addictions: A Comprehensive Guidebook</w:t>
      </w:r>
      <w:r w:rsidRPr="005764E3">
        <w:rPr>
          <w:sz w:val="20"/>
        </w:rPr>
        <w:t>, McCrady BS, Epstein EE (Ed), New York. Oxford University Press,  p.171-184.</w:t>
      </w:r>
    </w:p>
    <w:p w:rsidR="005764E3" w:rsidRPr="005764E3" w:rsidRDefault="005764E3" w:rsidP="005764E3">
      <w:pPr>
        <w:pStyle w:val="Els-reference"/>
        <w:jc w:val="both"/>
        <w:rPr>
          <w:sz w:val="20"/>
        </w:rPr>
      </w:pPr>
      <w:r w:rsidRPr="005764E3">
        <w:rPr>
          <w:sz w:val="20"/>
        </w:rPr>
        <w:t xml:space="preserve">Qadri, S.,Goel, R.K.D., Ahluwalia, S., Pathak, R., Bashir, H. (2013). Prevalance And Pattern Of Substance Abuse Among School Child In Northern India: A Rapid Assessment Study. </w:t>
      </w:r>
      <w:r w:rsidRPr="005764E3">
        <w:rPr>
          <w:i/>
          <w:sz w:val="20"/>
        </w:rPr>
        <w:t>International Journal Of Medical Science And Public Health,</w:t>
      </w:r>
      <w:r w:rsidRPr="005764E3">
        <w:rPr>
          <w:sz w:val="20"/>
        </w:rPr>
        <w:t xml:space="preserve"> 2(2).</w:t>
      </w:r>
    </w:p>
    <w:p w:rsidR="005764E3" w:rsidRPr="005764E3" w:rsidRDefault="005764E3" w:rsidP="005764E3">
      <w:pPr>
        <w:pStyle w:val="Els-reference"/>
        <w:jc w:val="both"/>
        <w:rPr>
          <w:bCs/>
          <w:i/>
          <w:color w:val="000000"/>
          <w:kern w:val="36"/>
          <w:sz w:val="20"/>
        </w:rPr>
      </w:pPr>
      <w:r w:rsidRPr="005764E3">
        <w:rPr>
          <w:bCs/>
          <w:color w:val="000000"/>
          <w:kern w:val="36"/>
          <w:sz w:val="20"/>
        </w:rPr>
        <w:t xml:space="preserve">Rahman, M.M., Ahmad, S.A., Karim, M.J., Chia, H.A. (2011). Determinants of smoking behaviour among secondary school students in Bangladesh. </w:t>
      </w:r>
      <w:r w:rsidRPr="005764E3">
        <w:rPr>
          <w:bCs/>
          <w:i/>
          <w:color w:val="000000"/>
          <w:kern w:val="36"/>
          <w:sz w:val="20"/>
        </w:rPr>
        <w:t>Journal Of Community Health. 36(5)</w:t>
      </w:r>
    </w:p>
    <w:p w:rsidR="005764E3" w:rsidRPr="005764E3" w:rsidRDefault="005764E3" w:rsidP="005764E3">
      <w:pPr>
        <w:pStyle w:val="Els-reference"/>
        <w:jc w:val="both"/>
        <w:rPr>
          <w:sz w:val="20"/>
        </w:rPr>
      </w:pPr>
      <w:r w:rsidRPr="005764E3">
        <w:rPr>
          <w:sz w:val="20"/>
        </w:rPr>
        <w:t xml:space="preserve">Simatwa, E.M.W., Odhong, S.O., Juma, S.L.A., Choka, G.M. (2014). Substance Abuse Among Public Secondary School Students: Prevalence, Strategies And Challenges For Public Secondary School Managers In Kenya: A Case Study Of Kisumu East Sub County. </w:t>
      </w:r>
      <w:r w:rsidRPr="005764E3">
        <w:rPr>
          <w:i/>
          <w:sz w:val="20"/>
        </w:rPr>
        <w:t>Educational Research</w:t>
      </w:r>
      <w:r w:rsidRPr="005764E3">
        <w:rPr>
          <w:sz w:val="20"/>
        </w:rPr>
        <w:t>. 5(8): 315-330.</w:t>
      </w:r>
    </w:p>
    <w:p w:rsidR="005764E3" w:rsidRPr="005764E3" w:rsidRDefault="005764E3" w:rsidP="005764E3">
      <w:pPr>
        <w:pStyle w:val="Els-reference"/>
        <w:jc w:val="both"/>
        <w:rPr>
          <w:sz w:val="20"/>
        </w:rPr>
      </w:pPr>
      <w:r w:rsidRPr="005764E3">
        <w:rPr>
          <w:sz w:val="20"/>
        </w:rPr>
        <w:t xml:space="preserve">Stacy A. W., Zogg J. B., Unger J. B., Dent C. W. (2004).  Exposure to televised alcohol ads and subsequent adolescent alcohol use. </w:t>
      </w:r>
      <w:r w:rsidRPr="005764E3">
        <w:rPr>
          <w:i/>
          <w:sz w:val="20"/>
        </w:rPr>
        <w:t>Am J Health Behav</w:t>
      </w:r>
      <w:r w:rsidRPr="005764E3">
        <w:rPr>
          <w:sz w:val="20"/>
        </w:rPr>
        <w:t>, 28(Supply.6), 498-509.</w:t>
      </w:r>
    </w:p>
    <w:p w:rsidR="005764E3" w:rsidRPr="005764E3" w:rsidRDefault="005764E3" w:rsidP="005764E3">
      <w:pPr>
        <w:pStyle w:val="Els-reference"/>
        <w:jc w:val="both"/>
        <w:rPr>
          <w:sz w:val="20"/>
        </w:rPr>
      </w:pPr>
      <w:r w:rsidRPr="005764E3">
        <w:rPr>
          <w:sz w:val="20"/>
        </w:rPr>
        <w:t>TUBIM. National Drug Report 2012, Ankara, Department of Anti-Smuggling and Organized Crime Publications, 2012.</w:t>
      </w:r>
    </w:p>
    <w:p w:rsidR="005764E3" w:rsidRPr="005764E3" w:rsidRDefault="005764E3" w:rsidP="005764E3">
      <w:pPr>
        <w:pStyle w:val="Els-reference"/>
        <w:jc w:val="both"/>
        <w:rPr>
          <w:sz w:val="20"/>
        </w:rPr>
      </w:pPr>
      <w:r w:rsidRPr="005764E3">
        <w:rPr>
          <w:sz w:val="20"/>
        </w:rPr>
        <w:t>United Nations Office on Drugs and Crime Global Youth Network. World situation with regard to drug abuse, with particular reference to children and youth. Vienna: The Network; 2001.</w:t>
      </w:r>
    </w:p>
    <w:p w:rsidR="005764E3" w:rsidRPr="005764E3" w:rsidRDefault="005764E3" w:rsidP="005764E3">
      <w:pPr>
        <w:pStyle w:val="Els-reference"/>
        <w:jc w:val="both"/>
        <w:rPr>
          <w:sz w:val="20"/>
        </w:rPr>
      </w:pPr>
      <w:r w:rsidRPr="005764E3">
        <w:rPr>
          <w:sz w:val="20"/>
        </w:rPr>
        <w:lastRenderedPageBreak/>
        <w:t>United Nations Office on DrugsandCrime (UNODC), World Drug Report 2004. United Nation publication, Sales No. E.04.XI.16.</w:t>
      </w:r>
    </w:p>
    <w:p w:rsidR="005764E3" w:rsidRPr="005764E3" w:rsidRDefault="005764E3" w:rsidP="005764E3">
      <w:pPr>
        <w:pStyle w:val="Els-reference"/>
        <w:jc w:val="both"/>
        <w:rPr>
          <w:sz w:val="20"/>
        </w:rPr>
      </w:pPr>
      <w:r w:rsidRPr="005764E3">
        <w:rPr>
          <w:sz w:val="20"/>
        </w:rPr>
        <w:t xml:space="preserve">UNODC. Birleşmiş Milletler Uyuşturucu ve Suç Ofisi (UNODC), </w:t>
      </w:r>
      <w:r w:rsidRPr="005764E3">
        <w:rPr>
          <w:i/>
          <w:sz w:val="20"/>
        </w:rPr>
        <w:t>Dünya Uyuşturucu Raporu</w:t>
      </w:r>
      <w:r w:rsidRPr="005764E3">
        <w:rPr>
          <w:sz w:val="20"/>
        </w:rPr>
        <w:t>. Birleşmiş Milletler Yayınları, 2012, Sales No. E.12.XI.1., s. 1.</w:t>
      </w:r>
    </w:p>
    <w:p w:rsidR="005764E3" w:rsidRPr="005764E3" w:rsidRDefault="005764E3" w:rsidP="005764E3">
      <w:pPr>
        <w:pStyle w:val="Els-reference"/>
        <w:jc w:val="both"/>
        <w:rPr>
          <w:sz w:val="20"/>
        </w:rPr>
      </w:pPr>
      <w:r w:rsidRPr="005764E3">
        <w:rPr>
          <w:sz w:val="20"/>
        </w:rPr>
        <w:t xml:space="preserve">Yacoubian, G. S., Arria, A. M., Fost E., Wish, E. D. (2002). Estimating the Prevalance of Ecstacy Use Among Juvenile Offenders. </w:t>
      </w:r>
      <w:r w:rsidRPr="005764E3">
        <w:rPr>
          <w:i/>
          <w:sz w:val="20"/>
        </w:rPr>
        <w:t>Journal of Psychoactive Drugs,</w:t>
      </w:r>
      <w:r w:rsidRPr="005764E3">
        <w:rPr>
          <w:sz w:val="20"/>
        </w:rPr>
        <w:t xml:space="preserve"> 34, 209-213.  </w:t>
      </w:r>
    </w:p>
    <w:p w:rsidR="005764E3" w:rsidRPr="005764E3" w:rsidRDefault="005764E3" w:rsidP="005764E3">
      <w:pPr>
        <w:pStyle w:val="Els-reference"/>
        <w:jc w:val="both"/>
        <w:rPr>
          <w:sz w:val="20"/>
        </w:rPr>
      </w:pPr>
      <w:r w:rsidRPr="005764E3">
        <w:rPr>
          <w:sz w:val="20"/>
        </w:rPr>
        <w:t>Yazman, Ü. (1995). Lise Gençliğinin Psikoaktif Maddelere Bakışı ve Kullanım Oranlarının Türkiye – İstanbul Örneği ile İncelenmesi. Uzmanlık Tezi, İstanbul.</w:t>
      </w:r>
    </w:p>
    <w:p w:rsidR="005764E3" w:rsidRPr="005764E3" w:rsidRDefault="005764E3" w:rsidP="005764E3">
      <w:pPr>
        <w:spacing w:line="360" w:lineRule="auto"/>
        <w:jc w:val="both"/>
      </w:pPr>
    </w:p>
    <w:p w:rsidR="005764E3" w:rsidRPr="005764E3" w:rsidRDefault="005764E3" w:rsidP="005764E3">
      <w:pPr>
        <w:spacing w:line="360" w:lineRule="auto"/>
        <w:jc w:val="both"/>
      </w:pPr>
    </w:p>
    <w:p w:rsidR="005764E3" w:rsidRPr="005764E3" w:rsidRDefault="005764E3" w:rsidP="005764E3">
      <w:pPr>
        <w:spacing w:line="480" w:lineRule="auto"/>
        <w:jc w:val="both"/>
      </w:pPr>
    </w:p>
    <w:p w:rsidR="005764E3" w:rsidRPr="005764E3" w:rsidRDefault="005764E3" w:rsidP="005764E3">
      <w:pPr>
        <w:spacing w:line="480" w:lineRule="auto"/>
        <w:jc w:val="both"/>
      </w:pPr>
    </w:p>
    <w:p w:rsidR="005764E3" w:rsidRPr="005764E3" w:rsidRDefault="005764E3" w:rsidP="005764E3">
      <w:pPr>
        <w:spacing w:line="480" w:lineRule="auto"/>
        <w:jc w:val="both"/>
      </w:pPr>
    </w:p>
    <w:p w:rsidR="005764E3" w:rsidRPr="005764E3" w:rsidRDefault="005764E3" w:rsidP="005764E3">
      <w:pPr>
        <w:spacing w:line="360" w:lineRule="auto"/>
        <w:jc w:val="both"/>
      </w:pPr>
    </w:p>
    <w:p w:rsidR="00E239DC" w:rsidRPr="005764E3" w:rsidRDefault="00E239DC" w:rsidP="005764E3">
      <w:pPr>
        <w:jc w:val="both"/>
      </w:pPr>
    </w:p>
    <w:sectPr w:rsidR="00E239DC" w:rsidRPr="005764E3" w:rsidSect="007662DE">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Black">
    <w:altName w:val="Times New Roman"/>
    <w:panose1 w:val="00000000000000000000"/>
    <w:charset w:val="00"/>
    <w:family w:val="roman"/>
    <w:notTrueType/>
    <w:pitch w:val="default"/>
    <w:sig w:usb0="00000003" w:usb1="00000000" w:usb2="00000000" w:usb3="00000000" w:csb0="00000001" w:csb1="00000000"/>
  </w:font>
  <w:font w:name="AdobeFangsongStd-Regular">
    <w:altName w:val="Arial Unicode MS"/>
    <w:panose1 w:val="00000000000000000000"/>
    <w:charset w:val="86"/>
    <w:family w:val="auto"/>
    <w:notTrueType/>
    <w:pitch w:val="default"/>
    <w:sig w:usb0="00000000"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205803"/>
    <w:multiLevelType w:val="multilevel"/>
    <w:tmpl w:val="E2A47066"/>
    <w:lvl w:ilvl="0">
      <w:start w:val="1"/>
      <w:numFmt w:val="decimal"/>
      <w:pStyle w:val="Els-1storder-head"/>
      <w:suff w:val="space"/>
      <w:lvlText w:val="%1."/>
      <w:lvlJc w:val="left"/>
      <w:pPr>
        <w:ind w:left="12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9B14B2"/>
    <w:rsid w:val="00176763"/>
    <w:rsid w:val="00290785"/>
    <w:rsid w:val="002D2291"/>
    <w:rsid w:val="003D0C84"/>
    <w:rsid w:val="00452F5C"/>
    <w:rsid w:val="00501021"/>
    <w:rsid w:val="005764E3"/>
    <w:rsid w:val="006E1B86"/>
    <w:rsid w:val="006E4629"/>
    <w:rsid w:val="00740658"/>
    <w:rsid w:val="007662DE"/>
    <w:rsid w:val="00820DAB"/>
    <w:rsid w:val="00853DB5"/>
    <w:rsid w:val="00902C52"/>
    <w:rsid w:val="0093278E"/>
    <w:rsid w:val="009B14B2"/>
    <w:rsid w:val="009D1FD7"/>
    <w:rsid w:val="00AA7482"/>
    <w:rsid w:val="00B86DDC"/>
    <w:rsid w:val="00C81C26"/>
    <w:rsid w:val="00D5773D"/>
    <w:rsid w:val="00DC7955"/>
    <w:rsid w:val="00DD68F5"/>
    <w:rsid w:val="00E239DC"/>
    <w:rsid w:val="00EB566B"/>
    <w:rsid w:val="00EE67EC"/>
    <w:rsid w:val="00FB0CCB"/>
    <w:rsid w:val="00FD31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4B2"/>
    <w:pPr>
      <w:spacing w:after="0" w:line="240" w:lineRule="auto"/>
    </w:pPr>
    <w:rPr>
      <w:rFonts w:ascii="Times New Roman" w:eastAsia="Times New Roman" w:hAnsi="Times New Roman" w:cs="Times New Roman"/>
      <w:sz w:val="20"/>
      <w:szCs w:val="20"/>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ls-1storder-head">
    <w:name w:val="Els-1storder-head"/>
    <w:next w:val="Els-body-text"/>
    <w:rsid w:val="009B14B2"/>
    <w:pPr>
      <w:keepNext/>
      <w:numPr>
        <w:numId w:val="1"/>
      </w:numPr>
      <w:suppressAutoHyphens/>
      <w:spacing w:before="240" w:after="240" w:line="240" w:lineRule="exact"/>
    </w:pPr>
    <w:rPr>
      <w:rFonts w:ascii="Times New Roman" w:eastAsia="Times New Roman" w:hAnsi="Times New Roman" w:cs="Times New Roman"/>
      <w:b/>
      <w:sz w:val="20"/>
      <w:szCs w:val="20"/>
    </w:rPr>
  </w:style>
  <w:style w:type="paragraph" w:customStyle="1" w:styleId="Els-2ndorder-head">
    <w:name w:val="Els-2ndorder-head"/>
    <w:next w:val="Els-body-text"/>
    <w:rsid w:val="009B14B2"/>
    <w:pPr>
      <w:keepNext/>
      <w:numPr>
        <w:ilvl w:val="1"/>
        <w:numId w:val="1"/>
      </w:numPr>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Els-body-text"/>
    <w:rsid w:val="009B14B2"/>
    <w:pPr>
      <w:keepNext/>
      <w:numPr>
        <w:ilvl w:val="2"/>
        <w:numId w:val="1"/>
      </w:numPr>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Els-body-text"/>
    <w:rsid w:val="009B14B2"/>
    <w:pPr>
      <w:keepNext/>
      <w:numPr>
        <w:ilvl w:val="3"/>
        <w:numId w:val="1"/>
      </w:numPr>
      <w:suppressAutoHyphens/>
      <w:spacing w:before="240" w:after="0" w:line="240" w:lineRule="exact"/>
    </w:pPr>
    <w:rPr>
      <w:rFonts w:ascii="Times New Roman" w:eastAsia="Times New Roman" w:hAnsi="Times New Roman" w:cs="Times New Roman"/>
      <w:i/>
      <w:sz w:val="20"/>
      <w:szCs w:val="20"/>
    </w:rPr>
  </w:style>
  <w:style w:type="paragraph" w:customStyle="1" w:styleId="Els-Abstract-head">
    <w:name w:val="Els-Abstract-head"/>
    <w:next w:val="Normal"/>
    <w:rsid w:val="009B14B2"/>
    <w:pPr>
      <w:keepNext/>
      <w:pBdr>
        <w:top w:val="single" w:sz="4" w:space="10" w:color="auto"/>
      </w:pBdr>
      <w:suppressAutoHyphens/>
      <w:spacing w:after="220" w:line="220" w:lineRule="exact"/>
    </w:pPr>
    <w:rPr>
      <w:rFonts w:ascii="Times New Roman" w:eastAsia="Times New Roman" w:hAnsi="Times New Roman" w:cs="Times New Roman"/>
      <w:b/>
      <w:sz w:val="18"/>
      <w:szCs w:val="20"/>
    </w:rPr>
  </w:style>
  <w:style w:type="paragraph" w:customStyle="1" w:styleId="Els-Abstract-text">
    <w:name w:val="Els-Abstract-text"/>
    <w:next w:val="Normal"/>
    <w:rsid w:val="009B14B2"/>
    <w:pPr>
      <w:spacing w:after="0" w:line="220" w:lineRule="exact"/>
      <w:jc w:val="both"/>
    </w:pPr>
    <w:rPr>
      <w:rFonts w:ascii="Times New Roman" w:eastAsia="Times New Roman" w:hAnsi="Times New Roman" w:cs="Times New Roman"/>
      <w:sz w:val="18"/>
      <w:szCs w:val="20"/>
    </w:rPr>
  </w:style>
  <w:style w:type="paragraph" w:customStyle="1" w:styleId="Els-body-text">
    <w:name w:val="Els-body-text"/>
    <w:rsid w:val="009B14B2"/>
    <w:pPr>
      <w:keepNext/>
      <w:spacing w:after="0" w:line="240" w:lineRule="exact"/>
      <w:ind w:firstLine="238"/>
      <w:jc w:val="both"/>
    </w:pPr>
    <w:rPr>
      <w:rFonts w:ascii="Times New Roman" w:eastAsia="Times New Roman" w:hAnsi="Times New Roman" w:cs="Times New Roman"/>
      <w:sz w:val="20"/>
      <w:szCs w:val="20"/>
    </w:rPr>
  </w:style>
  <w:style w:type="paragraph" w:customStyle="1" w:styleId="Els-keywords">
    <w:name w:val="Els-keywords"/>
    <w:next w:val="Normal"/>
    <w:rsid w:val="009B14B2"/>
    <w:pPr>
      <w:pBdr>
        <w:bottom w:val="single" w:sz="4" w:space="10" w:color="auto"/>
      </w:pBdr>
      <w:spacing w:after="200" w:line="200" w:lineRule="exact"/>
    </w:pPr>
    <w:rPr>
      <w:rFonts w:ascii="Times New Roman" w:eastAsia="Times New Roman" w:hAnsi="Times New Roman" w:cs="Times New Roman"/>
      <w:noProof/>
      <w:sz w:val="16"/>
      <w:szCs w:val="20"/>
    </w:rPr>
  </w:style>
  <w:style w:type="paragraph" w:customStyle="1" w:styleId="Els-reference">
    <w:name w:val="Els-reference"/>
    <w:rsid w:val="009B14B2"/>
    <w:pPr>
      <w:tabs>
        <w:tab w:val="left" w:pos="312"/>
      </w:tabs>
      <w:spacing w:after="0" w:line="200" w:lineRule="exact"/>
      <w:ind w:left="312" w:hanging="312"/>
    </w:pPr>
    <w:rPr>
      <w:rFonts w:ascii="Times New Roman" w:eastAsia="Times New Roman" w:hAnsi="Times New Roman" w:cs="Times New Roman"/>
      <w:noProof/>
      <w:sz w:val="16"/>
      <w:szCs w:val="20"/>
    </w:rPr>
  </w:style>
  <w:style w:type="character" w:styleId="Kpr">
    <w:name w:val="Hyperlink"/>
    <w:basedOn w:val="VarsaylanParagrafYazTipi"/>
    <w:rsid w:val="009B14B2"/>
    <w:rPr>
      <w:color w:val="auto"/>
      <w:sz w:val="16"/>
      <w:u w:val="none"/>
    </w:rPr>
  </w:style>
  <w:style w:type="paragraph" w:customStyle="1" w:styleId="Body">
    <w:name w:val="Body"/>
    <w:uiPriority w:val="99"/>
    <w:rsid w:val="005764E3"/>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Arial Unicode MS" w:cs="Arial Unicode MS"/>
      <w:color w:val="000000"/>
      <w:sz w:val="24"/>
      <w:szCs w:val="24"/>
      <w:u w:color="000000"/>
      <w:lang w:eastAsia="tr-TR"/>
    </w:rPr>
  </w:style>
  <w:style w:type="paragraph" w:customStyle="1" w:styleId="Default">
    <w:name w:val="Default"/>
    <w:rsid w:val="005764E3"/>
    <w:pPr>
      <w:autoSpaceDE w:val="0"/>
      <w:autoSpaceDN w:val="0"/>
      <w:adjustRightInd w:val="0"/>
      <w:spacing w:after="0" w:line="240" w:lineRule="auto"/>
    </w:pPr>
    <w:rPr>
      <w:rFonts w:ascii="Calibri" w:eastAsia="Calibri" w:hAnsi="Calibri" w:cs="Calibri"/>
      <w:color w:val="000000"/>
      <w:sz w:val="24"/>
      <w:szCs w:val="24"/>
      <w:lang w:val="tr-T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dram.emu.edu.tr/wp-content/uploads/2012/11/Rapor.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5196</Words>
  <Characters>29620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huzunboylu</dc:creator>
  <cp:lastModifiedBy>user</cp:lastModifiedBy>
  <cp:revision>2</cp:revision>
  <dcterms:created xsi:type="dcterms:W3CDTF">2017-03-15T07:29:00Z</dcterms:created>
  <dcterms:modified xsi:type="dcterms:W3CDTF">2017-03-15T07:29:00Z</dcterms:modified>
</cp:coreProperties>
</file>